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AF49F" w14:textId="77777777" w:rsidR="00401774" w:rsidRDefault="00000000">
      <w:pPr>
        <w:ind w:left="720"/>
        <w:jc w:val="center"/>
        <w:rPr>
          <w:b/>
          <w:bCs/>
          <w:color w:val="000000"/>
          <w:sz w:val="28"/>
          <w:szCs w:val="28"/>
        </w:rPr>
      </w:pPr>
      <w:r>
        <w:rPr>
          <w:b/>
          <w:bCs/>
          <w:color w:val="000000"/>
          <w:sz w:val="28"/>
          <w:szCs w:val="28"/>
        </w:rPr>
        <w:t>Transformational Leadership and Psychological Safety as Predictors of Employee Innovation</w:t>
      </w:r>
    </w:p>
    <w:p w14:paraId="168758F2" w14:textId="77777777" w:rsidR="00401774" w:rsidRDefault="00401774">
      <w:pPr>
        <w:jc w:val="both"/>
        <w:rPr>
          <w:b/>
          <w:bCs/>
        </w:rPr>
      </w:pPr>
    </w:p>
    <w:p w14:paraId="0C4AAF6D" w14:textId="4E2B68FC" w:rsidR="00401774" w:rsidRDefault="00401774" w:rsidP="00C810F6">
      <w:pPr>
        <w:jc w:val="center"/>
        <w:rPr>
          <w:b/>
          <w:bCs/>
        </w:rPr>
      </w:pPr>
    </w:p>
    <w:p w14:paraId="28389781" w14:textId="77777777" w:rsidR="00401774" w:rsidRDefault="00401774"/>
    <w:p w14:paraId="1E18FE77" w14:textId="77777777" w:rsidR="00401774" w:rsidRDefault="00000000">
      <w:pPr>
        <w:widowControl w:val="0"/>
        <w:pBdr>
          <w:top w:val="nil"/>
          <w:left w:val="nil"/>
          <w:bottom w:val="nil"/>
          <w:right w:val="nil"/>
          <w:between w:val="nil"/>
        </w:pBdr>
        <w:jc w:val="center"/>
        <w:rPr>
          <w:b/>
          <w:bCs/>
          <w:color w:val="000000"/>
        </w:rPr>
      </w:pPr>
      <w:r>
        <w:rPr>
          <w:b/>
          <w:bCs/>
          <w:color w:val="000000"/>
        </w:rPr>
        <w:t xml:space="preserve">ABSTRAK </w:t>
      </w:r>
    </w:p>
    <w:p w14:paraId="3FE6E376" w14:textId="77777777" w:rsidR="00401774" w:rsidRDefault="00000000">
      <w:pPr>
        <w:pBdr>
          <w:top w:val="nil"/>
          <w:left w:val="nil"/>
          <w:bottom w:val="nil"/>
          <w:right w:val="nil"/>
          <w:between w:val="nil"/>
        </w:pBdr>
        <w:ind w:right="57"/>
        <w:jc w:val="both"/>
        <w:rPr>
          <w:color w:val="000000"/>
          <w:sz w:val="22"/>
          <w:szCs w:val="22"/>
        </w:rPr>
      </w:pPr>
      <w:r>
        <w:rPr>
          <w:sz w:val="22"/>
          <w:szCs w:val="22"/>
        </w:rPr>
        <w:t>The growing complexity of organizational environments has intensified scholarly and managerial interest in leadership mechanisms that foster employee innovation. This integrative literature review systematically examines how transformational leadership (TL) cultivates innovative work behavior (IWB) across public sector, educational, and private organizational contexts, with particular emphasis on the psychological pathways that mediate this relationship. Drawing on 14 peer-reviewed empirical studies published between 2021 and 2024, supplemented by foundational theoretical works, this review maps three dominant mediating mechanisms: (1) psychological capital (</w:t>
      </w:r>
      <w:proofErr w:type="spellStart"/>
      <w:r>
        <w:rPr>
          <w:sz w:val="22"/>
          <w:szCs w:val="22"/>
        </w:rPr>
        <w:t>PsyCap</w:t>
      </w:r>
      <w:proofErr w:type="spellEnd"/>
      <w:r>
        <w:rPr>
          <w:sz w:val="22"/>
          <w:szCs w:val="22"/>
        </w:rPr>
        <w:t>), encompassing self-efficacy, hope, optimism, and resilience; (2) satisfaction of basic psychological needs, particularly autonomy and competence; and (3) psychological safety, defined as the shared belief within teams that interpersonal risk-taking is safe. Findings consistently demonstrate that the influence of transformational leadership on IWB operates substantially through these psychological resources and conditions, indicating that leadership impact is primarily indirect in nature. Leaders who deliver individualized consideration, intellectual stimulation, and inspirational motivation simultaneously cultivate the psychological infrastructure necessary for employees to generate, champion, and implement novel ideas. The review further highlights the role of knowledge sharing, ethical leadership, and ambidextrous human resource practices as contextual amplifiers. Theoretical implications are discussed within Conservation of Resources Theory, Self-Determination Theory, and social learning frameworks, followed by evidence-based recommendations for organizational development programs targeting both leadership behavior and the psychological conditions that enable innovation.</w:t>
      </w:r>
    </w:p>
    <w:p w14:paraId="17B1039B" w14:textId="77777777" w:rsidR="00401774" w:rsidRDefault="00000000">
      <w:pPr>
        <w:jc w:val="both"/>
        <w:rPr>
          <w:i/>
          <w:iCs/>
        </w:rPr>
      </w:pPr>
      <w:r>
        <w:rPr>
          <w:b/>
          <w:bCs/>
        </w:rPr>
        <w:t xml:space="preserve">Keywords: </w:t>
      </w:r>
      <w:r>
        <w:rPr>
          <w:i/>
          <w:iCs/>
        </w:rPr>
        <w:t xml:space="preserve">innovative work behavior; psychological capital; psychological safety; self-determination theory; transformational leadership. </w:t>
      </w:r>
    </w:p>
    <w:p w14:paraId="7CE40DB3" w14:textId="77777777" w:rsidR="00401774" w:rsidRDefault="00401774">
      <w:pPr>
        <w:jc w:val="both"/>
        <w:rPr>
          <w:smallCaps/>
        </w:rPr>
      </w:pPr>
    </w:p>
    <w:p w14:paraId="53EE754D" w14:textId="77777777" w:rsidR="00401774" w:rsidRDefault="00000000">
      <w:pPr>
        <w:jc w:val="both"/>
        <w:rPr>
          <w:b/>
          <w:bCs/>
        </w:rPr>
      </w:pPr>
      <w:r>
        <w:rPr>
          <w:b/>
          <w:bCs/>
        </w:rPr>
        <w:t xml:space="preserve">INTRODUCTION </w:t>
      </w:r>
    </w:p>
    <w:p w14:paraId="7E16ECC0" w14:textId="77777777" w:rsidR="00401774" w:rsidRDefault="00000000" w:rsidP="00C810F6">
      <w:pPr>
        <w:spacing w:after="120"/>
        <w:ind w:firstLine="630"/>
        <w:jc w:val="both"/>
      </w:pPr>
      <w:r>
        <w:t>Innovation has become an indispensable driver of organizational sustainability and competitive advantage in the twenty-first century. Whether in public agencies navigating digital transformation, educational institutions responding to rapid pedagogical shifts, or small and medium-sized enterprises (SMEs) competing in volatile global markets, the capacity of employees to generate, champion, and implement novel ideas, collectively conceptualized as innovative work behavior (IWB), has emerged as a central organizational priority (Janssen, 2000; Scott &amp; Bruce, 1994). Yet innovation does not arise spontaneously. It requires not only individual cognitive capacity but also a motivating and enabling organizational context, shaped to a significant degree by the quality of leadership employees encounter.</w:t>
      </w:r>
    </w:p>
    <w:p w14:paraId="50858386" w14:textId="77777777" w:rsidR="00401774" w:rsidRDefault="00000000" w:rsidP="00C810F6">
      <w:pPr>
        <w:spacing w:after="120"/>
        <w:ind w:firstLine="630"/>
        <w:jc w:val="both"/>
      </w:pPr>
      <w:r>
        <w:lastRenderedPageBreak/>
        <w:t>Innovative work behavior, as conceptualized by Scott and Bruce (1994) and subsequently refined by Janssen (2000), encompasses three interrelated behavioral stages: idea generation, idea championing, and idea implementation. Idea generation involves the production of novel and potentially useful solutions to problems or opportunities encountered in the work environment. Idea championing refers to the active advocacy and promotion of new ideas within the organization's social and political landscape, including coalition-building and persuasion of key decision-makers. Idea implementation denotes the concrete application of novel solutions into actual work practices, processes, products, or services. This three-stage model reflects the processual and socially embedded nature of workplace innovation, which is fundamentally dependent on the relational, motivational, and safety-related conditions that leaders create and sustain.</w:t>
      </w:r>
    </w:p>
    <w:p w14:paraId="2D139C99" w14:textId="77777777" w:rsidR="00401774" w:rsidRDefault="00000000" w:rsidP="00C810F6">
      <w:pPr>
        <w:spacing w:after="120"/>
        <w:ind w:firstLine="630"/>
        <w:jc w:val="both"/>
      </w:pPr>
      <w:r>
        <w:t xml:space="preserve">Among the many leadership frameworks studied in contemporary organizational psychology, transformational leadership (TL) has attracted sustained empirical attention for its capacity to elevate followers beyond self-interest, stimulate intellectual engagement, and nurture individual growth (Bass, 1985; Avolio &amp; Bass, 1995). Transformational leaders inspire through idealized influence, motivate via compelling future-oriented visions, challenge followers' assumptions through intellectual stimulation, and provide individualized consideration tailored to each follower's developmental needs. These behaviors are theoretically and empirically linked to elevated employee creativity and innovation across diverse cultural, sectoral, and national contexts (Karimi et al., 2023; Nasir et al., 2022; </w:t>
      </w:r>
      <w:proofErr w:type="spellStart"/>
      <w:r>
        <w:t>Alhitmi</w:t>
      </w:r>
      <w:proofErr w:type="spellEnd"/>
      <w:r>
        <w:t xml:space="preserve"> et al., 2023; Saif et al., 2024).</w:t>
      </w:r>
    </w:p>
    <w:p w14:paraId="646B6927" w14:textId="77777777" w:rsidR="00401774" w:rsidRDefault="00000000" w:rsidP="00C810F6">
      <w:pPr>
        <w:spacing w:after="120"/>
        <w:ind w:firstLine="630"/>
        <w:jc w:val="both"/>
      </w:pPr>
      <w:r>
        <w:t>Despite a robust body of evidence linking transformational leadership with IWB, a critical and practically consequential question remains underexplored: through what specific psychological mechanisms does this relationship operate? Recent scholarship has begun to address this gap by identifying mediating pathways involving psychological capital (</w:t>
      </w:r>
      <w:proofErr w:type="spellStart"/>
      <w:r>
        <w:t>PsyCap</w:t>
      </w:r>
      <w:proofErr w:type="spellEnd"/>
      <w:r>
        <w:t>), composed of self-efficacy, hope, optimism, and resilience (Luthans et al., 2007), satisfaction of basic psychological needs (Deci &amp; Ryan, 2000), and psychological safety (Edmondson, 1999). However, these streams of research have largely developed in parallel, and a comprehensive integration that maps their interrelationships within a unified conceptual framework is absent from the literature, limiting both theoretical clarity and actionable guidance for organizational practitioners.</w:t>
      </w:r>
    </w:p>
    <w:p w14:paraId="07ADF9A1" w14:textId="77777777" w:rsidR="00401774" w:rsidRDefault="00000000" w:rsidP="00C810F6">
      <w:pPr>
        <w:spacing w:after="120"/>
        <w:ind w:firstLine="630"/>
        <w:jc w:val="both"/>
      </w:pPr>
      <w:r>
        <w:t xml:space="preserve">This integrative review addresses three interrelated research gaps. First, while individual studies have examined </w:t>
      </w:r>
      <w:proofErr w:type="spellStart"/>
      <w:r>
        <w:t>PsyCap</w:t>
      </w:r>
      <w:proofErr w:type="spellEnd"/>
      <w:r>
        <w:t xml:space="preserve"> and psychological safety as separate mediating constructs, no synthesis has jointly mapped their contributions within a single conceptual model that also incorporates basic needs satisfaction. Second, the contextual conditions, including organizational sector, cultural setting, and human resource management practices, that moderate the strength and direction of these mediation pathways have not been systematically examined. Third, most existing reviews focus predominantly on direct leadership effects, underrepresenting the fundamentally indirect and psychologically mediated nature of leadership's influence on innovation. It is also important to recognize that the leadership-innovation relationship is embedded within broader theoretical traditions. Conservation of Resources Theory (</w:t>
      </w:r>
      <w:proofErr w:type="spellStart"/>
      <w:r>
        <w:t>Hobfoll</w:t>
      </w:r>
      <w:proofErr w:type="spellEnd"/>
      <w:r>
        <w:t>, 1989) provides a macro-level rationale for why resource-enriching leadership behaviors generate downstream motivational benefits, while Social Learning Theory (Bandura, 1977) explains how followers internalize leaders' psychological orientations through observational modeling.</w:t>
      </w:r>
    </w:p>
    <w:p w14:paraId="384E3DA7" w14:textId="77777777" w:rsidR="00401774" w:rsidRDefault="00000000" w:rsidP="00C810F6">
      <w:pPr>
        <w:ind w:firstLine="630"/>
        <w:jc w:val="both"/>
      </w:pPr>
      <w:r>
        <w:lastRenderedPageBreak/>
        <w:t xml:space="preserve">The present study therefore aims to: (1) synthesize empirical evidence on the relationship between transformational leadership and IWB; (2) identify and integrate the primary psychological mediating mechanisms, </w:t>
      </w:r>
      <w:proofErr w:type="spellStart"/>
      <w:r>
        <w:t>PsyCap</w:t>
      </w:r>
      <w:proofErr w:type="spellEnd"/>
      <w:r>
        <w:t>, basic needs, and psychological safety, through which this relationship operates; (3) explore contextual amplifiers such as knowledge sharing, ethical leadership, and human resource practices; and (4) derive theoretical and practical implications for leadership development and organizational psychology. By doing so, this review contributes a more nuanced and integrative understanding of how leadership shapes the psychological conditions that are necessary and sufficient for sustained organizational innovation.</w:t>
      </w:r>
    </w:p>
    <w:p w14:paraId="2C9FF0EF" w14:textId="77777777" w:rsidR="00401774" w:rsidRDefault="00401774">
      <w:pPr>
        <w:pBdr>
          <w:top w:val="nil"/>
          <w:left w:val="nil"/>
          <w:bottom w:val="nil"/>
          <w:right w:val="nil"/>
          <w:between w:val="nil"/>
        </w:pBdr>
        <w:ind w:right="-42"/>
        <w:jc w:val="both"/>
        <w:rPr>
          <w:b/>
          <w:bCs/>
          <w:color w:val="000000"/>
        </w:rPr>
      </w:pPr>
    </w:p>
    <w:p w14:paraId="0EEABC52" w14:textId="77777777" w:rsidR="00401774" w:rsidRDefault="00000000">
      <w:pPr>
        <w:pBdr>
          <w:top w:val="nil"/>
          <w:left w:val="nil"/>
          <w:bottom w:val="nil"/>
          <w:right w:val="nil"/>
          <w:between w:val="nil"/>
        </w:pBdr>
        <w:ind w:right="-42"/>
        <w:jc w:val="both"/>
        <w:rPr>
          <w:color w:val="000000"/>
        </w:rPr>
      </w:pPr>
      <w:r>
        <w:rPr>
          <w:b/>
          <w:bCs/>
          <w:color w:val="000000"/>
        </w:rPr>
        <w:t>METHODOLOGY</w:t>
      </w:r>
      <w:r>
        <w:rPr>
          <w:color w:val="000000"/>
        </w:rPr>
        <w:t xml:space="preserve"> </w:t>
      </w:r>
    </w:p>
    <w:p w14:paraId="5E4751CE" w14:textId="77777777" w:rsidR="00401774" w:rsidRDefault="00000000" w:rsidP="00C810F6">
      <w:pPr>
        <w:spacing w:after="120"/>
        <w:ind w:firstLine="720"/>
        <w:jc w:val="both"/>
      </w:pPr>
      <w:r>
        <w:t>This study employed a systematic integrative literature review methodology, drawing on the conceptual framework proposed by Torraco (2005) and adapted by Snyder (2019) for organizational management research. The integrative review approach was selected because it accommodates the synthesis of heterogeneous empirical methodologies, including cross-sectional surveys with structural equation modeling (SEM), longitudinal designs, experimental interventions, and mixed-methods studies, thereby enabling comprehensive conceptual synthesis rather than merely aggregating findings from methodologically homogeneous studies. This approach is particularly appropriate for domains, such as the transformational leadership-innovation literature, characterized by rapidly accumulating and methodologically diverse empirical contributions.</w:t>
      </w:r>
    </w:p>
    <w:p w14:paraId="711A38A1" w14:textId="77777777" w:rsidR="00401774" w:rsidRDefault="00000000" w:rsidP="00C810F6">
      <w:pPr>
        <w:spacing w:after="120"/>
        <w:ind w:firstLine="720"/>
        <w:jc w:val="both"/>
      </w:pPr>
      <w:r>
        <w:t>Literature was retrieved from multiple academic databases, including Scopus, Web of Science, PsycINFO, Google Scholar, and ERIC, using a structured Boolean search strategy. The primary search strings systematically combined terms from three conceptual domains: (1) 'transformational leadership' OR 'TL'; (2) 'innovative work behavior' OR 'creativity' OR 'employee innovation' OR 'innovation performance'; and (3) 'psychological capital' OR '</w:t>
      </w:r>
      <w:proofErr w:type="spellStart"/>
      <w:r>
        <w:t>PsyCap</w:t>
      </w:r>
      <w:proofErr w:type="spellEnd"/>
      <w:r>
        <w:t>' OR 'psychological safety' OR 'basic psychological needs' OR 'self-determination theory' OR 'knowledge sharing.' Searches were restricted to peer-reviewed journal articles published between January 2021 and December 2024, ensuring alignment with the five-year currency requirement for journal sources. Reference lists of retrieved articles were also manually reviewed to identify additional relevant studies not captured by the automated search.</w:t>
      </w:r>
    </w:p>
    <w:p w14:paraId="15FB6ECE" w14:textId="77777777" w:rsidR="00401774" w:rsidRDefault="00000000" w:rsidP="00C810F6">
      <w:pPr>
        <w:ind w:firstLine="720"/>
        <w:jc w:val="both"/>
      </w:pPr>
      <w:r>
        <w:t>Articles were included in the final synthesis if they met the following criteria: (a) empirically examined transformational leadership as a primary independent, contextual, or comparative variable; (b) assessed innovative work behavior, employee creativity, or individual innovation performance as a key outcome variable; (c) incorporated at least one psychological mediating or moderating construct; and (d) were published in English in a peer-reviewed scholarly journal. Studies were excluded if they were purely theoretical or conceptual without presenting original empirical data, if they focused exclusively on organizational-level or product-level innovation without individual behavioral outcomes, or if their full text was inaccessible. Following these criteria, 14 primary empirical studies were included in the synthesis. Table 2 provides a structured overview of the included studies, including their national context, sample characteristics, and key mediating mechanisms examined.</w:t>
      </w:r>
    </w:p>
    <w:p w14:paraId="69D6811E" w14:textId="77777777" w:rsidR="00401774" w:rsidRDefault="00401774">
      <w:pPr>
        <w:jc w:val="both"/>
      </w:pPr>
    </w:p>
    <w:p w14:paraId="65244326" w14:textId="77777777" w:rsidR="00401774" w:rsidRDefault="00000000">
      <w:pPr>
        <w:jc w:val="center"/>
      </w:pPr>
      <w:r>
        <w:rPr>
          <w:b/>
          <w:bCs/>
        </w:rPr>
        <w:t>Table 2</w:t>
      </w:r>
    </w:p>
    <w:p w14:paraId="3B30EE2F" w14:textId="77777777" w:rsidR="00401774" w:rsidRDefault="00000000">
      <w:pPr>
        <w:jc w:val="center"/>
      </w:pPr>
      <w:r>
        <w:rPr>
          <w:b/>
          <w:bCs/>
        </w:rPr>
        <w:lastRenderedPageBreak/>
        <w:t>Characteristics of Included Studies (Selected)</w:t>
      </w:r>
    </w:p>
    <w:tbl>
      <w:tblPr>
        <w:tblStyle w:val="a2"/>
        <w:tblW w:w="9026" w:type="dxa"/>
        <w:tblBorders>
          <w:top w:val="single" w:sz="4" w:space="0" w:color="000000"/>
          <w:left w:val="nil"/>
          <w:bottom w:val="single" w:sz="4" w:space="0" w:color="000000"/>
          <w:right w:val="nil"/>
          <w:insideH w:val="single" w:sz="4" w:space="0" w:color="000000"/>
          <w:insideV w:val="nil"/>
        </w:tblBorders>
        <w:tblLayout w:type="fixed"/>
        <w:tblLook w:val="0000" w:firstRow="0" w:lastRow="0" w:firstColumn="0" w:lastColumn="0" w:noHBand="0" w:noVBand="0"/>
      </w:tblPr>
      <w:tblGrid>
        <w:gridCol w:w="2300"/>
        <w:gridCol w:w="1600"/>
        <w:gridCol w:w="1600"/>
        <w:gridCol w:w="1726"/>
        <w:gridCol w:w="1800"/>
      </w:tblGrid>
      <w:tr w:rsidR="00401774" w14:paraId="71F3D224" w14:textId="77777777">
        <w:tc>
          <w:tcPr>
            <w:tcW w:w="2300" w:type="dxa"/>
          </w:tcPr>
          <w:p w14:paraId="5F2E51B2" w14:textId="77777777" w:rsidR="00401774" w:rsidRDefault="00000000">
            <w:pPr>
              <w:jc w:val="center"/>
            </w:pPr>
            <w:r>
              <w:rPr>
                <w:b/>
                <w:bCs/>
              </w:rPr>
              <w:t>Study</w:t>
            </w:r>
          </w:p>
        </w:tc>
        <w:tc>
          <w:tcPr>
            <w:tcW w:w="1600" w:type="dxa"/>
          </w:tcPr>
          <w:p w14:paraId="0F010497" w14:textId="77777777" w:rsidR="00401774" w:rsidRDefault="00000000">
            <w:pPr>
              <w:jc w:val="center"/>
            </w:pPr>
            <w:r>
              <w:rPr>
                <w:b/>
                <w:bCs/>
              </w:rPr>
              <w:t>Context</w:t>
            </w:r>
          </w:p>
        </w:tc>
        <w:tc>
          <w:tcPr>
            <w:tcW w:w="1600" w:type="dxa"/>
          </w:tcPr>
          <w:p w14:paraId="3519D00D" w14:textId="77777777" w:rsidR="00401774" w:rsidRDefault="00000000">
            <w:pPr>
              <w:jc w:val="center"/>
            </w:pPr>
            <w:r>
              <w:rPr>
                <w:b/>
                <w:bCs/>
              </w:rPr>
              <w:t>Sample</w:t>
            </w:r>
          </w:p>
        </w:tc>
        <w:tc>
          <w:tcPr>
            <w:tcW w:w="1726" w:type="dxa"/>
          </w:tcPr>
          <w:p w14:paraId="3A4F493B" w14:textId="77777777" w:rsidR="00401774" w:rsidRDefault="00000000">
            <w:pPr>
              <w:jc w:val="center"/>
            </w:pPr>
            <w:r>
              <w:rPr>
                <w:b/>
                <w:bCs/>
              </w:rPr>
              <w:t>Mediator(s)</w:t>
            </w:r>
          </w:p>
        </w:tc>
        <w:tc>
          <w:tcPr>
            <w:tcW w:w="1800" w:type="dxa"/>
          </w:tcPr>
          <w:p w14:paraId="0EB9335B" w14:textId="77777777" w:rsidR="00401774" w:rsidRDefault="00000000">
            <w:pPr>
              <w:jc w:val="center"/>
            </w:pPr>
            <w:r>
              <w:rPr>
                <w:b/>
                <w:bCs/>
              </w:rPr>
              <w:t>Key Result</w:t>
            </w:r>
          </w:p>
        </w:tc>
      </w:tr>
      <w:tr w:rsidR="00401774" w14:paraId="2DBF91E3" w14:textId="77777777">
        <w:tc>
          <w:tcPr>
            <w:tcW w:w="2300" w:type="dxa"/>
          </w:tcPr>
          <w:p w14:paraId="31D1B61A" w14:textId="77777777" w:rsidR="00401774" w:rsidRDefault="00000000">
            <w:r>
              <w:t>Karimi et al. (2023)</w:t>
            </w:r>
          </w:p>
        </w:tc>
        <w:tc>
          <w:tcPr>
            <w:tcW w:w="1600" w:type="dxa"/>
          </w:tcPr>
          <w:p w14:paraId="5543C335" w14:textId="77777777" w:rsidR="00401774" w:rsidRDefault="00000000">
            <w:r>
              <w:t xml:space="preserve">Iran, </w:t>
            </w:r>
            <w:proofErr w:type="gramStart"/>
            <w:r>
              <w:t>Multi-sector</w:t>
            </w:r>
            <w:proofErr w:type="gramEnd"/>
          </w:p>
        </w:tc>
        <w:tc>
          <w:tcPr>
            <w:tcW w:w="1600" w:type="dxa"/>
          </w:tcPr>
          <w:p w14:paraId="23A4B833" w14:textId="77777777" w:rsidR="00401774" w:rsidRDefault="00000000">
            <w:r>
              <w:t>n = 384</w:t>
            </w:r>
          </w:p>
        </w:tc>
        <w:tc>
          <w:tcPr>
            <w:tcW w:w="1726" w:type="dxa"/>
          </w:tcPr>
          <w:p w14:paraId="013B3E3E" w14:textId="77777777" w:rsidR="00401774" w:rsidRDefault="00000000">
            <w:proofErr w:type="spellStart"/>
            <w:r>
              <w:t>PsyCap</w:t>
            </w:r>
            <w:proofErr w:type="spellEnd"/>
          </w:p>
        </w:tc>
        <w:tc>
          <w:tcPr>
            <w:tcW w:w="1800" w:type="dxa"/>
          </w:tcPr>
          <w:p w14:paraId="58CF8F76" w14:textId="77777777" w:rsidR="00401774" w:rsidRDefault="00000000">
            <w:r>
              <w:t xml:space="preserve">Full mediation via </w:t>
            </w:r>
            <w:proofErr w:type="spellStart"/>
            <w:r>
              <w:t>PsyCap</w:t>
            </w:r>
            <w:proofErr w:type="spellEnd"/>
          </w:p>
        </w:tc>
      </w:tr>
      <w:tr w:rsidR="00401774" w14:paraId="3C77A12A" w14:textId="77777777">
        <w:tc>
          <w:tcPr>
            <w:tcW w:w="2300" w:type="dxa"/>
          </w:tcPr>
          <w:p w14:paraId="294C859C" w14:textId="77777777" w:rsidR="00401774" w:rsidRDefault="00000000">
            <w:r>
              <w:t>Bak et al. (2021)</w:t>
            </w:r>
          </w:p>
        </w:tc>
        <w:tc>
          <w:tcPr>
            <w:tcW w:w="1600" w:type="dxa"/>
          </w:tcPr>
          <w:p w14:paraId="77AE8AD5" w14:textId="77777777" w:rsidR="00401774" w:rsidRDefault="00000000">
            <w:r>
              <w:t>USA, Public Sector</w:t>
            </w:r>
          </w:p>
        </w:tc>
        <w:tc>
          <w:tcPr>
            <w:tcW w:w="1600" w:type="dxa"/>
          </w:tcPr>
          <w:p w14:paraId="7E11136C" w14:textId="77777777" w:rsidR="00401774" w:rsidRDefault="00000000">
            <w:r>
              <w:t>n = 512</w:t>
            </w:r>
          </w:p>
        </w:tc>
        <w:tc>
          <w:tcPr>
            <w:tcW w:w="1726" w:type="dxa"/>
          </w:tcPr>
          <w:p w14:paraId="702314C9" w14:textId="77777777" w:rsidR="00401774" w:rsidRDefault="00000000">
            <w:proofErr w:type="spellStart"/>
            <w:r>
              <w:t>PsyCap</w:t>
            </w:r>
            <w:proofErr w:type="spellEnd"/>
          </w:p>
        </w:tc>
        <w:tc>
          <w:tcPr>
            <w:tcW w:w="1800" w:type="dxa"/>
          </w:tcPr>
          <w:p w14:paraId="0CE15B48" w14:textId="77777777" w:rsidR="00401774" w:rsidRDefault="00000000">
            <w:r>
              <w:t>Partial mediation</w:t>
            </w:r>
          </w:p>
        </w:tc>
      </w:tr>
      <w:tr w:rsidR="00401774" w14:paraId="1A25EE43" w14:textId="77777777">
        <w:tc>
          <w:tcPr>
            <w:tcW w:w="2300" w:type="dxa"/>
          </w:tcPr>
          <w:p w14:paraId="546E9116" w14:textId="77777777" w:rsidR="00401774" w:rsidRDefault="00000000">
            <w:r>
              <w:t>Messmann et al. (2021)</w:t>
            </w:r>
          </w:p>
        </w:tc>
        <w:tc>
          <w:tcPr>
            <w:tcW w:w="1600" w:type="dxa"/>
          </w:tcPr>
          <w:p w14:paraId="30C0E81D" w14:textId="77777777" w:rsidR="00401774" w:rsidRDefault="00000000">
            <w:r>
              <w:t>Netherlands, Education</w:t>
            </w:r>
          </w:p>
        </w:tc>
        <w:tc>
          <w:tcPr>
            <w:tcW w:w="1600" w:type="dxa"/>
          </w:tcPr>
          <w:p w14:paraId="73956252" w14:textId="77777777" w:rsidR="00401774" w:rsidRDefault="00000000">
            <w:r>
              <w:t>n = 476</w:t>
            </w:r>
          </w:p>
        </w:tc>
        <w:tc>
          <w:tcPr>
            <w:tcW w:w="1726" w:type="dxa"/>
          </w:tcPr>
          <w:p w14:paraId="44E9D00F" w14:textId="77777777" w:rsidR="00401774" w:rsidRDefault="00000000">
            <w:r>
              <w:t>Basic Needs</w:t>
            </w:r>
          </w:p>
        </w:tc>
        <w:tc>
          <w:tcPr>
            <w:tcW w:w="1800" w:type="dxa"/>
          </w:tcPr>
          <w:p w14:paraId="58DFBB6B" w14:textId="77777777" w:rsidR="00401774" w:rsidRDefault="00000000">
            <w:r>
              <w:t>Competence fully mediates</w:t>
            </w:r>
          </w:p>
        </w:tc>
      </w:tr>
      <w:tr w:rsidR="00401774" w14:paraId="0B9EC7C3" w14:textId="77777777">
        <w:tc>
          <w:tcPr>
            <w:tcW w:w="2300" w:type="dxa"/>
          </w:tcPr>
          <w:p w14:paraId="3C323384" w14:textId="77777777" w:rsidR="00401774" w:rsidRDefault="00000000">
            <w:r>
              <w:t>Rafique et al. (2022)</w:t>
            </w:r>
          </w:p>
        </w:tc>
        <w:tc>
          <w:tcPr>
            <w:tcW w:w="1600" w:type="dxa"/>
          </w:tcPr>
          <w:p w14:paraId="6CEF2B1D" w14:textId="77777777" w:rsidR="00401774" w:rsidRDefault="00000000">
            <w:r>
              <w:t>Pakistan, SMEs</w:t>
            </w:r>
          </w:p>
        </w:tc>
        <w:tc>
          <w:tcPr>
            <w:tcW w:w="1600" w:type="dxa"/>
          </w:tcPr>
          <w:p w14:paraId="2E55E169" w14:textId="77777777" w:rsidR="00401774" w:rsidRDefault="00000000">
            <w:r>
              <w:t>n = 342</w:t>
            </w:r>
          </w:p>
        </w:tc>
        <w:tc>
          <w:tcPr>
            <w:tcW w:w="1726" w:type="dxa"/>
          </w:tcPr>
          <w:p w14:paraId="2FB545F3" w14:textId="77777777" w:rsidR="00401774" w:rsidRDefault="00000000">
            <w:r>
              <w:t>Knowledge Sharing</w:t>
            </w:r>
          </w:p>
        </w:tc>
        <w:tc>
          <w:tcPr>
            <w:tcW w:w="1800" w:type="dxa"/>
          </w:tcPr>
          <w:p w14:paraId="584935B8" w14:textId="77777777" w:rsidR="00401774" w:rsidRDefault="00000000">
            <w:r>
              <w:t>Mediation + moderation</w:t>
            </w:r>
          </w:p>
        </w:tc>
      </w:tr>
      <w:tr w:rsidR="00401774" w14:paraId="3B90643D" w14:textId="77777777">
        <w:tc>
          <w:tcPr>
            <w:tcW w:w="2300" w:type="dxa"/>
          </w:tcPr>
          <w:p w14:paraId="6562373D" w14:textId="77777777" w:rsidR="00401774" w:rsidRDefault="00000000">
            <w:r>
              <w:t>Zhao et al. (2022)</w:t>
            </w:r>
          </w:p>
        </w:tc>
        <w:tc>
          <w:tcPr>
            <w:tcW w:w="1600" w:type="dxa"/>
          </w:tcPr>
          <w:p w14:paraId="03EE103B" w14:textId="77777777" w:rsidR="00401774" w:rsidRDefault="00000000">
            <w:r>
              <w:t xml:space="preserve">China, </w:t>
            </w:r>
            <w:proofErr w:type="gramStart"/>
            <w:r>
              <w:t>Multi-sector</w:t>
            </w:r>
            <w:proofErr w:type="gramEnd"/>
          </w:p>
        </w:tc>
        <w:tc>
          <w:tcPr>
            <w:tcW w:w="1600" w:type="dxa"/>
          </w:tcPr>
          <w:p w14:paraId="5EF15E94" w14:textId="77777777" w:rsidR="00401774" w:rsidRDefault="00000000">
            <w:r>
              <w:t>n = 412</w:t>
            </w:r>
          </w:p>
        </w:tc>
        <w:tc>
          <w:tcPr>
            <w:tcW w:w="1726" w:type="dxa"/>
          </w:tcPr>
          <w:p w14:paraId="6CC647FA" w14:textId="77777777" w:rsidR="00401774" w:rsidRDefault="00000000">
            <w:r>
              <w:t>Psych. Safety</w:t>
            </w:r>
          </w:p>
        </w:tc>
        <w:tc>
          <w:tcPr>
            <w:tcW w:w="1800" w:type="dxa"/>
          </w:tcPr>
          <w:p w14:paraId="0DC43776" w14:textId="77777777" w:rsidR="00401774" w:rsidRDefault="00000000">
            <w:r>
              <w:t>Full mediation of HR-IWB</w:t>
            </w:r>
          </w:p>
        </w:tc>
      </w:tr>
      <w:tr w:rsidR="00401774" w14:paraId="22F0B40D" w14:textId="77777777">
        <w:tc>
          <w:tcPr>
            <w:tcW w:w="2300" w:type="dxa"/>
          </w:tcPr>
          <w:p w14:paraId="2D623EBE" w14:textId="77777777" w:rsidR="00401774" w:rsidRDefault="00000000">
            <w:r>
              <w:t>Liu et al. (2023)</w:t>
            </w:r>
          </w:p>
        </w:tc>
        <w:tc>
          <w:tcPr>
            <w:tcW w:w="1600" w:type="dxa"/>
          </w:tcPr>
          <w:p w14:paraId="2D0DDCE9" w14:textId="77777777" w:rsidR="00401774" w:rsidRDefault="00000000">
            <w:r>
              <w:t>South Korea, Corp.</w:t>
            </w:r>
          </w:p>
        </w:tc>
        <w:tc>
          <w:tcPr>
            <w:tcW w:w="1600" w:type="dxa"/>
          </w:tcPr>
          <w:p w14:paraId="07E0A0FA" w14:textId="77777777" w:rsidR="00401774" w:rsidRDefault="00000000">
            <w:r>
              <w:t>n = 387</w:t>
            </w:r>
          </w:p>
        </w:tc>
        <w:tc>
          <w:tcPr>
            <w:tcW w:w="1726" w:type="dxa"/>
          </w:tcPr>
          <w:p w14:paraId="4F8C517D" w14:textId="77777777" w:rsidR="00401774" w:rsidRDefault="00000000">
            <w:r>
              <w:t>Safety + Engagement</w:t>
            </w:r>
          </w:p>
        </w:tc>
        <w:tc>
          <w:tcPr>
            <w:tcW w:w="1800" w:type="dxa"/>
          </w:tcPr>
          <w:p w14:paraId="551F0ADD" w14:textId="77777777" w:rsidR="00401774" w:rsidRDefault="00000000">
            <w:r>
              <w:t>Sequential mediation</w:t>
            </w:r>
          </w:p>
        </w:tc>
      </w:tr>
      <w:tr w:rsidR="00401774" w14:paraId="7F3AAAAE" w14:textId="77777777">
        <w:tc>
          <w:tcPr>
            <w:tcW w:w="2300" w:type="dxa"/>
          </w:tcPr>
          <w:p w14:paraId="0738228E" w14:textId="77777777" w:rsidR="00401774" w:rsidRDefault="00000000">
            <w:r>
              <w:t>Wang et al. (2021)</w:t>
            </w:r>
          </w:p>
        </w:tc>
        <w:tc>
          <w:tcPr>
            <w:tcW w:w="1600" w:type="dxa"/>
          </w:tcPr>
          <w:p w14:paraId="0F924E2C" w14:textId="77777777" w:rsidR="00401774" w:rsidRDefault="00000000">
            <w:r>
              <w:t xml:space="preserve">China, </w:t>
            </w:r>
            <w:proofErr w:type="gramStart"/>
            <w:r>
              <w:t>Multi-sector</w:t>
            </w:r>
            <w:proofErr w:type="gramEnd"/>
          </w:p>
        </w:tc>
        <w:tc>
          <w:tcPr>
            <w:tcW w:w="1600" w:type="dxa"/>
          </w:tcPr>
          <w:p w14:paraId="7ACDA461" w14:textId="77777777" w:rsidR="00401774" w:rsidRDefault="00000000">
            <w:r>
              <w:t>n = 356</w:t>
            </w:r>
          </w:p>
        </w:tc>
        <w:tc>
          <w:tcPr>
            <w:tcW w:w="1726" w:type="dxa"/>
          </w:tcPr>
          <w:p w14:paraId="3E28187F" w14:textId="77777777" w:rsidR="00401774" w:rsidRDefault="00000000">
            <w:r>
              <w:t>Psych. Safety</w:t>
            </w:r>
          </w:p>
        </w:tc>
        <w:tc>
          <w:tcPr>
            <w:tcW w:w="1800" w:type="dxa"/>
          </w:tcPr>
          <w:p w14:paraId="23409256" w14:textId="77777777" w:rsidR="00401774" w:rsidRDefault="00000000">
            <w:r>
              <w:t xml:space="preserve">Leader </w:t>
            </w:r>
            <w:proofErr w:type="spellStart"/>
            <w:r>
              <w:t>PsyCap</w:t>
            </w:r>
            <w:proofErr w:type="spellEnd"/>
            <w:r>
              <w:t xml:space="preserve"> cascades via safety</w:t>
            </w:r>
          </w:p>
        </w:tc>
      </w:tr>
    </w:tbl>
    <w:p w14:paraId="08B2D352" w14:textId="77777777" w:rsidR="00401774" w:rsidRDefault="00000000">
      <w:pPr>
        <w:jc w:val="both"/>
        <w:rPr>
          <w:i/>
          <w:iCs/>
        </w:rPr>
      </w:pPr>
      <w:r>
        <w:rPr>
          <w:i/>
          <w:iCs/>
        </w:rPr>
        <w:t xml:space="preserve">Note. IWB = Innovative Work Behavior; </w:t>
      </w:r>
      <w:proofErr w:type="spellStart"/>
      <w:r>
        <w:rPr>
          <w:i/>
          <w:iCs/>
        </w:rPr>
        <w:t>PsyCap</w:t>
      </w:r>
      <w:proofErr w:type="spellEnd"/>
      <w:r>
        <w:rPr>
          <w:i/>
          <w:iCs/>
        </w:rPr>
        <w:t xml:space="preserve"> = Psychological Capital; Psych. Safety = Psychological Safety.</w:t>
      </w:r>
    </w:p>
    <w:p w14:paraId="4F6198E0" w14:textId="77777777" w:rsidR="00401774" w:rsidRDefault="00401774">
      <w:pPr>
        <w:jc w:val="both"/>
      </w:pPr>
    </w:p>
    <w:p w14:paraId="6E32AA08" w14:textId="6879C17A" w:rsidR="00401774" w:rsidRDefault="00C810F6">
      <w:pPr>
        <w:spacing w:after="120"/>
        <w:jc w:val="both"/>
      </w:pPr>
      <w:r>
        <w:tab/>
      </w:r>
      <w:r w:rsidR="00000000">
        <w:t xml:space="preserve">Data extraction followed a standardized protocol capturing: (a) study design and methodological approach; (b) sample size and demographic characteristics; (c) national and sectoral context; (d) variables and measurement instruments employed; (e) mediating or moderating constructs; and (f) key quantitative findings, including path coefficients and fit indices </w:t>
      </w:r>
      <w:proofErr w:type="spellStart"/>
      <w:r w:rsidR="00000000">
        <w:t>where</w:t>
      </w:r>
      <w:proofErr w:type="spellEnd"/>
      <w:r w:rsidR="00000000">
        <w:t xml:space="preserve"> reported. Thematic analysis was employed to identify convergent and divergent patterns across the 14 primary studies. Three superordinate themes emerged, </w:t>
      </w:r>
      <w:proofErr w:type="spellStart"/>
      <w:r w:rsidR="00000000">
        <w:t>PsyCap</w:t>
      </w:r>
      <w:proofErr w:type="spellEnd"/>
      <w:r w:rsidR="00000000">
        <w:t>-based pathways, basic needs-based pathways, and psychological safety-based pathways, which provide the organizational structure for the Results and Discussion section. Foundational theoretical works (Bass, 1985; Luthans et al., 2007; Deci &amp; Ryan, 2000; Edmondson, 1999) were incorporated throughout to provide theoretical depth and contextualize empirical findings within established organizational behavior frameworks.</w:t>
      </w:r>
    </w:p>
    <w:p w14:paraId="28B1DAE3" w14:textId="77777777" w:rsidR="00401774" w:rsidRDefault="00401774">
      <w:pPr>
        <w:jc w:val="both"/>
      </w:pPr>
    </w:p>
    <w:p w14:paraId="4A26F22F" w14:textId="77777777" w:rsidR="00401774" w:rsidRDefault="00000000">
      <w:pPr>
        <w:jc w:val="both"/>
        <w:rPr>
          <w:b/>
          <w:bCs/>
        </w:rPr>
      </w:pPr>
      <w:r>
        <w:rPr>
          <w:b/>
          <w:bCs/>
        </w:rPr>
        <w:t>RESULTS AND DISCUSSION</w:t>
      </w:r>
    </w:p>
    <w:p w14:paraId="5325C5FF" w14:textId="77777777" w:rsidR="00401774" w:rsidRDefault="00000000">
      <w:r>
        <w:rPr>
          <w:b/>
          <w:bCs/>
        </w:rPr>
        <w:t>A. Transformational Leadership as a Direct and Indirect Predictor of Innovative Work Behavior</w:t>
      </w:r>
    </w:p>
    <w:p w14:paraId="6B29A811" w14:textId="77777777" w:rsidR="00401774" w:rsidRDefault="00000000" w:rsidP="00C810F6">
      <w:pPr>
        <w:spacing w:after="120"/>
        <w:ind w:firstLine="720"/>
        <w:jc w:val="both"/>
      </w:pPr>
      <w:r>
        <w:t xml:space="preserve">The most consistent finding across the reviewed literature is the positive and statistically significant relationship between transformational leadership and employee innovative work behavior. Across a diverse range of national contexts, including Pakistan, Saudi Arabia, South Korea, China, the Netherlands, and Iran, and organizational sectors spanning SMEs, public administration, higher education, and healthcare, transformational leadership emerges as a robust and theoretically coherent predictor of IWB (Karimi et al., 2023; Nasir et al., 2022; Messmann et al., 2021; Rafique et al., 2022; Bak et al., 2021; </w:t>
      </w:r>
      <w:proofErr w:type="spellStart"/>
      <w:r>
        <w:t>Alhitmi</w:t>
      </w:r>
      <w:proofErr w:type="spellEnd"/>
      <w:r>
        <w:t xml:space="preserve"> et al., 2023; Saif et al., 2024; Iqbal et al., 2021). The consistency of this finding across highly varied organizational and cultural contexts underscores the cross-contextual validity of the transformational leadership construct as an innovation-enabling leadership form.</w:t>
      </w:r>
    </w:p>
    <w:p w14:paraId="38218B9D" w14:textId="77777777" w:rsidR="00401774" w:rsidRDefault="00000000" w:rsidP="00C810F6">
      <w:pPr>
        <w:spacing w:after="120"/>
        <w:ind w:firstLine="720"/>
        <w:jc w:val="both"/>
      </w:pPr>
      <w:r>
        <w:lastRenderedPageBreak/>
        <w:t>The theoretical basis for this relationship is grounded in the four behavioral dimensions of transformational leadership. Intellectual stimulation encourages employees to challenge entrenched assumptions and explore radically new problem-solving approaches, thereby fostering the cognitive flexibility and divergent thinking that are foundational to creative ideation (Bass, 1985; Amabile, 1988). Individualized consideration, characterized by tailored developmental support, mentoring relationships, and attentiveness to the unique growth needs of each follower, enhances employees' sense of personal relevance, valued expertise, and self-perceived competence, motivating sustained creative effort and persistence through the uncertainties of the innovation process. Inspirational motivation, achieved through the articulation of compelling future-oriented visions and the framing of work as meaningful, provides employees with a superordinate purpose that legitimizes and energizes risk-taking, experimentation, and deviation from established routines. Finally, idealized influence, the attribution of exceptional leader character and trustworthiness by followers, creates the motivational precondition of psychological trust that enables followers to extend their creative contributions without fear of exploitative appropriation.</w:t>
      </w:r>
    </w:p>
    <w:p w14:paraId="79F5CE30" w14:textId="77777777" w:rsidR="00401774" w:rsidRDefault="00000000" w:rsidP="00C810F6">
      <w:pPr>
        <w:ind w:firstLine="720"/>
        <w:jc w:val="both"/>
      </w:pPr>
      <w:r>
        <w:t xml:space="preserve">Nasir et al. (2022) demonstrated that transformational leadership significantly and independently predicted employee performance and creativity in Pakistani SMEs, with organizational innovation culture amplifying this effect. Similarly, Iqbal et al. (2021) confirmed that transformational leadership, combined with entrepreneurial orientation and organizational commitment, predicted innovation performance in SME contexts, underscoring the cumulative and multiplicative nature of leadership within strategically innovative organizational cultures. </w:t>
      </w:r>
      <w:proofErr w:type="spellStart"/>
      <w:r>
        <w:t>Alhitmi</w:t>
      </w:r>
      <w:proofErr w:type="spellEnd"/>
      <w:r>
        <w:t xml:space="preserve"> et al. (2023) extended these findings through a mediated moderation model, demonstrating that transformational leadership's effect on innovation was contingent upon market orientation and systematically mediated by employees' knowledge-sharing behaviors, revealing the organizational embeddedness of even individually oriented leadership effects.</w:t>
      </w:r>
    </w:p>
    <w:p w14:paraId="65F40491" w14:textId="77777777" w:rsidR="00401774" w:rsidRDefault="00401774">
      <w:pPr>
        <w:jc w:val="both"/>
      </w:pPr>
    </w:p>
    <w:p w14:paraId="5D6015B3" w14:textId="77777777" w:rsidR="00401774" w:rsidRDefault="00000000">
      <w:r>
        <w:rPr>
          <w:b/>
          <w:bCs/>
        </w:rPr>
        <w:t>B. Psychological Capital as a Mediating Mechanism</w:t>
      </w:r>
    </w:p>
    <w:p w14:paraId="4A2D6ADD" w14:textId="77777777" w:rsidR="00401774" w:rsidRDefault="00000000" w:rsidP="00C810F6">
      <w:pPr>
        <w:spacing w:after="120"/>
        <w:ind w:firstLine="720"/>
        <w:jc w:val="both"/>
      </w:pPr>
      <w:r>
        <w:t>Psychological capital, conceptualized by Luthans et al. (2007) as a higher-order positive psychological resource state comprising self-efficacy, hope, optimism, and resilience, has emerged as one of the most robustly supported mediators of the transformational leadership-IWB relationship. The theoretical rationale is grounded primarily in Conservation of Resources (COR) theory (</w:t>
      </w:r>
      <w:proofErr w:type="spellStart"/>
      <w:r>
        <w:t>Hobfoll</w:t>
      </w:r>
      <w:proofErr w:type="spellEnd"/>
      <w:r>
        <w:t xml:space="preserve">, 1989): transformational leaders function as psychological resource convoys, providing followers with the motivational, affective, and cognitive resources, confidence, positive future expectations, goal-directed energy, and coping capacity, necessary to undertake the cognitively demanding and interpersonally risky process of workplace innovation. Unlike extrinsic resources such as financial incentives or structural autonomy, </w:t>
      </w:r>
      <w:proofErr w:type="spellStart"/>
      <w:r>
        <w:t>PsyCap</w:t>
      </w:r>
      <w:proofErr w:type="spellEnd"/>
      <w:r>
        <w:t xml:space="preserve"> represents an internal positive psychological state that employees deploy proactively in novel and uncertain situations, precisely the conditions that characterize innovative work.</w:t>
      </w:r>
    </w:p>
    <w:p w14:paraId="4B697D45" w14:textId="77777777" w:rsidR="00401774" w:rsidRDefault="00000000" w:rsidP="00C810F6">
      <w:pPr>
        <w:spacing w:after="120"/>
        <w:ind w:firstLine="720"/>
        <w:jc w:val="both"/>
      </w:pPr>
      <w:r>
        <w:t xml:space="preserve">Karimi et al. (2023) provided direct and methodologically rigorous evidence for this mediation in a study of Iranian employees across multiple organizational sectors. Using structural equation modeling with a sample of 384 respondents, they demonstrated that </w:t>
      </w:r>
      <w:proofErr w:type="spellStart"/>
      <w:r>
        <w:t>PsyCap</w:t>
      </w:r>
      <w:proofErr w:type="spellEnd"/>
      <w:r>
        <w:t xml:space="preserve"> fully mediated the relationship between transformational leadership and IWB, with self-efficacy and hope emerging as particularly potent individual components. This finding aligns theoretically with Bandura's (1977) self-efficacy framework: </w:t>
      </w:r>
      <w:r>
        <w:lastRenderedPageBreak/>
        <w:t>individuals who maintain robust beliefs in their own capacity to execute challenging and novel tasks are substantially more likely to initiate innovative projects and persist through the inevitable failures and setbacks of the innovation process. Hope, operationalized by Snyder as both the agency to pursue goals energetically and the pathways thinking to identify alternative routes when initial strategies are blocked, similarly equips employees to navigate the iterative, non-linear, and uncertainty-laden nature of the innovation cycle.</w:t>
      </w:r>
    </w:p>
    <w:p w14:paraId="28F7A9DE" w14:textId="77777777" w:rsidR="00401774" w:rsidRDefault="00000000" w:rsidP="00C810F6">
      <w:pPr>
        <w:spacing w:after="120"/>
        <w:ind w:firstLine="720"/>
        <w:jc w:val="both"/>
      </w:pPr>
      <w:r>
        <w:t xml:space="preserve">Bak et al. (2021) replicated and extended these findings within a U.S. public sector context involving 512 government employees — an environment historically characterized by bureaucratic constraints, procedural rigidity, and risk-averse institutional cultures that might be expected to suppress </w:t>
      </w:r>
      <w:proofErr w:type="spellStart"/>
      <w:r>
        <w:t>PsyCap</w:t>
      </w:r>
      <w:proofErr w:type="spellEnd"/>
      <w:r>
        <w:t xml:space="preserve">-mediated innovation. Importantly, </w:t>
      </w:r>
      <w:proofErr w:type="spellStart"/>
      <w:r>
        <w:t>PsyCap</w:t>
      </w:r>
      <w:proofErr w:type="spellEnd"/>
      <w:r>
        <w:t xml:space="preserve"> still functioned as a significant partial mediator in this constrained environment, suggesting that the </w:t>
      </w:r>
      <w:proofErr w:type="spellStart"/>
      <w:r>
        <w:t>PsyCap</w:t>
      </w:r>
      <w:proofErr w:type="spellEnd"/>
      <w:r>
        <w:t xml:space="preserve"> pathway retains meaningful relevance across organizational cultures that are not intrinsically innovation-supportive. The partial nature of the mediation further indicates that transformational leadership retains some residual direct influence on IWB beyond its </w:t>
      </w:r>
      <w:proofErr w:type="spellStart"/>
      <w:r>
        <w:t>PsyCap</w:t>
      </w:r>
      <w:proofErr w:type="spellEnd"/>
      <w:r>
        <w:t>-building function, though the psychological pathway accounts for the dominant proportion of the indirect effect. This implies that both the behavioral and the psychological dimensions of transformational leadership contribute independently to innovation outcomes.</w:t>
      </w:r>
    </w:p>
    <w:p w14:paraId="403C6F68" w14:textId="77777777" w:rsidR="00401774" w:rsidRDefault="00000000" w:rsidP="00C810F6">
      <w:pPr>
        <w:ind w:firstLine="720"/>
        <w:jc w:val="both"/>
      </w:pPr>
      <w:r>
        <w:t xml:space="preserve">Brunetto et al. (2021) contextualized the </w:t>
      </w:r>
      <w:proofErr w:type="spellStart"/>
      <w:r>
        <w:t>PsyCap</w:t>
      </w:r>
      <w:proofErr w:type="spellEnd"/>
      <w:r>
        <w:t xml:space="preserve"> mediation framework within the extraordinary organizational pressures of the COVID-19 pandemic, examining healthcare frontline service-level bureaucrats. Their findings demonstrated that psychosocial safety climate functioned as an organizational-level amplifier of the </w:t>
      </w:r>
      <w:proofErr w:type="spellStart"/>
      <w:r>
        <w:t>PsyCap</w:t>
      </w:r>
      <w:proofErr w:type="spellEnd"/>
      <w:r>
        <w:t xml:space="preserve">-innovation link: when the broader organizational climate communicated that psychological well-being was genuinely valued by management, the innovation-enabling function of employees' individual </w:t>
      </w:r>
      <w:proofErr w:type="spellStart"/>
      <w:r>
        <w:t>PsyCap</w:t>
      </w:r>
      <w:proofErr w:type="spellEnd"/>
      <w:r>
        <w:t xml:space="preserve"> was significantly strengthened. This cross-level interaction highlights that individual psychological resources do not operate in a social vacuum. Rather, they are activated or constrained by organizational-level signals about what management values and what employee behaviors are safe and rewarded.</w:t>
      </w:r>
    </w:p>
    <w:p w14:paraId="698AC6BD" w14:textId="77777777" w:rsidR="00401774" w:rsidRDefault="00401774">
      <w:pPr>
        <w:jc w:val="both"/>
      </w:pPr>
    </w:p>
    <w:p w14:paraId="0BF73853" w14:textId="77777777" w:rsidR="00401774" w:rsidRDefault="00000000">
      <w:r>
        <w:rPr>
          <w:b/>
          <w:bCs/>
        </w:rPr>
        <w:t>C. Basic Psychological Needs Satisfaction as a Motivational Pathway</w:t>
      </w:r>
    </w:p>
    <w:p w14:paraId="26387EB4" w14:textId="77777777" w:rsidR="00401774" w:rsidRDefault="00000000" w:rsidP="00C810F6">
      <w:pPr>
        <w:spacing w:after="120"/>
        <w:ind w:firstLine="720"/>
        <w:jc w:val="both"/>
      </w:pPr>
      <w:r>
        <w:t>Self-Determination Theory (SDT; Deci &amp; Ryan, 2000) posits that human motivation is most autonomous, sustained, and qualitatively highest when three fundamental psychological needs are satisfied: autonomy (the need to experience volitional causation and personal endorsement of one's own actions), competence (the need to experience efficacy and mastery in interaction with the environment), and relatedness (the need to feel genuinely connected to and cared for by significant others). SDT further predicts that social environments, including organizational leadership styles, that support rather than thwart these needs will produce internalized, autonomous motivation as opposed to extrinsic compliance, which is the motivational form most conducive to creative and innovative behavior.</w:t>
      </w:r>
    </w:p>
    <w:p w14:paraId="60617BDB" w14:textId="77777777" w:rsidR="00401774" w:rsidRDefault="00000000" w:rsidP="00C810F6">
      <w:pPr>
        <w:spacing w:after="120"/>
        <w:ind w:firstLine="720"/>
        <w:jc w:val="both"/>
      </w:pPr>
      <w:r>
        <w:t xml:space="preserve">Messmann et al. (2021) applied this theoretical framework to the transformational leadership-IWB context in a large study of Dutch vocational education teachers (n = 476). Their multi-wave survey and structural equation modeling results demonstrated that satisfaction of basic psychological needs, particularly autonomy and competence, fully and partially mediated the relationship between transformational leadership and innovative work behavior, respectively. The stronger mediation of competence in this educational sample is theoretically instructive: professional teachers derive a significant </w:t>
      </w:r>
      <w:r>
        <w:lastRenderedPageBreak/>
        <w:t>portion of their occupational identity from perceptions of pedagogical expertise and effectiveness, and transformational leaders who challenge, develop, and affirm this competence are particularly potent in liberating innovative professional motivation. Relatedness, while theoretically part of the SDT triad, showed weaker mediation in this study, potentially reflecting the relative independence of professional roles in educational contexts.</w:t>
      </w:r>
    </w:p>
    <w:p w14:paraId="16D970CE" w14:textId="77777777" w:rsidR="00401774" w:rsidRDefault="00000000" w:rsidP="00C810F6">
      <w:pPr>
        <w:ind w:firstLine="720"/>
        <w:jc w:val="both"/>
      </w:pPr>
      <w:r>
        <w:t>Beyond the Messmann et al. (2021) study, the basic needs framework offers important guidance for interpreting findings across the wider literature. The consistent finding that transformational leadership produces its strongest innovation effects among employees who report high intrinsic motivation and professional identity, particularly in educational and healthcare contexts, is theoretically coherent with SDT's prediction that need satisfaction is the proximal mechanism through which social environments enable autonomous motivation. Practical recommendations emerging from this pathway include the incorporation of SDT-informed coaching competencies into leadership training: training leaders to offer genuine choices rather than directives, to provide informational rather than controlling feedback, and to connect individual work to collective meaning-making structures that facilitate autonomous internalization of innovative goals.</w:t>
      </w:r>
    </w:p>
    <w:p w14:paraId="2EC9460F" w14:textId="77777777" w:rsidR="00401774" w:rsidRDefault="00401774">
      <w:pPr>
        <w:jc w:val="both"/>
      </w:pPr>
    </w:p>
    <w:p w14:paraId="7A918244" w14:textId="77777777" w:rsidR="00401774" w:rsidRDefault="00000000">
      <w:r>
        <w:rPr>
          <w:b/>
          <w:bCs/>
        </w:rPr>
        <w:t>D. Psychological Safety as a Foundational Organizational Condition for Innovation</w:t>
      </w:r>
    </w:p>
    <w:p w14:paraId="3B3F5C38" w14:textId="77777777" w:rsidR="00401774" w:rsidRDefault="00000000" w:rsidP="00C810F6">
      <w:pPr>
        <w:spacing w:after="120"/>
        <w:ind w:firstLine="810"/>
        <w:jc w:val="both"/>
      </w:pPr>
      <w:r>
        <w:t>Psychological safety, originally defined by Edmondson (1999) as the shared belief among members of a work unit that it is safe to take interpersonal risks without fear of punishment, embarrassment, or retaliation, has received rapidly expanding empirical attention as a foundational organizational condition for innovation. The theoretical rationale for its role in facilitating IWB is compelling: innovation inherently involves generating and publicly advocating for ideas that are novel, unproven, and therefore vulnerable to negative evaluation by colleagues, supervisors, or organizational gatekeepers. Without a sufficient level of psychological safety, rational employees are likely to engage in anticipatory impression management and self-censorship behaviors that systematically suppress their innovative contributions, even when they possess the psychological capital and motivational resources necessary for innovation (Carmeli et al., 2010; Edmondson, 1999).</w:t>
      </w:r>
    </w:p>
    <w:p w14:paraId="08C1B161" w14:textId="77777777" w:rsidR="00401774" w:rsidRDefault="00000000" w:rsidP="00C810F6">
      <w:pPr>
        <w:spacing w:after="120"/>
        <w:ind w:firstLine="810"/>
        <w:jc w:val="both"/>
      </w:pPr>
      <w:r>
        <w:t>Zhao et al. (2022) demonstrated the pivotal mediating role of psychological safety in a study examining the relationship between ambidextrous human resource (HR) practices, those simultaneously emphasizing exploration-oriented innovation and exploitation-oriented efficiency, and employee innovation performance. Their structural equation results revealed that psychological safety fully mediated this relationship, indicating that even well-designed HR systems targeting innovation cannot produce their intended effects unless accompanied by a relational climate in which employees feel safe to translate the organizational intention into personal behavioral risk-taking. This finding situates psychological safety at the intersection of macro-level HR strategy and individual innovation behavior, with significant implications for HR policy implementation.</w:t>
      </w:r>
    </w:p>
    <w:p w14:paraId="09BE9256" w14:textId="77777777" w:rsidR="00401774" w:rsidRDefault="00000000" w:rsidP="00C810F6">
      <w:pPr>
        <w:spacing w:after="120"/>
        <w:ind w:firstLine="810"/>
        <w:jc w:val="both"/>
      </w:pPr>
      <w:r>
        <w:t xml:space="preserve">Liu et al. (2023) introduced a theoretically novel sequential mediation model in which ethical leadership, defined by integrity, fairness, and genuine concern for follower welfare, first cultivates psychological safety within the work unit, which in turn fosters higher levels of work engagement, ultimately producing elevated innovative work behavior. This three-stage sequential mediation chain underscores the motivational </w:t>
      </w:r>
      <w:r>
        <w:lastRenderedPageBreak/>
        <w:t>function of psychological safety: when employees perceive their interpersonal environment as safe for risk-taking, they are more willing to invest their full cognitive, affective, and behavioral engagement in their work tasks, and this qualitatively deeper engagement energizes the generative and championing behaviors associated with innovation. The inclusion of work engagement as a sequential mediator importantly demonstrates that psychological safety exerts its innovation effects not merely by removing inhibition, but by positively energizing a deeper quality of motivational engagement.</w:t>
      </w:r>
    </w:p>
    <w:p w14:paraId="6F009447" w14:textId="77777777" w:rsidR="00401774" w:rsidRDefault="00000000" w:rsidP="00C810F6">
      <w:pPr>
        <w:ind w:firstLine="810"/>
        <w:jc w:val="both"/>
      </w:pPr>
      <w:r>
        <w:t xml:space="preserve">Wang et al. (2021) extended the psychological safety framework by examining a cross-level dynamic: leader psychological capital as an antecedent of team psychological safety. Their results demonstrated that leaders who themselves exhibit high </w:t>
      </w:r>
      <w:proofErr w:type="spellStart"/>
      <w:r>
        <w:t>PsyCap</w:t>
      </w:r>
      <w:proofErr w:type="spellEnd"/>
      <w:r>
        <w:t>, expressing confidence, hope, and resilience in their own leadership, create significantly more psychologically safe team climates, which cascade to produce higher subordinate innovative behavior. This finding suggests a compelling spillover mechanism: leader psychological resources are transmitted to the team environment through behavioral manifestations of optimism, tolerance for experimentation, and modeling of constructive failure responses, which collectively signal to followers that the psychological environment rewards rather than punishes innovative risk-taking. Wang et al. (2022) further enriched this evidence base by demonstrating that servant leadership, which prioritizes follower welfare above leader self-interest, generates psychological safety and employee well-being as sequential mediators of creativity outcomes.</w:t>
      </w:r>
    </w:p>
    <w:p w14:paraId="044559FD" w14:textId="77777777" w:rsidR="00401774" w:rsidRDefault="00401774">
      <w:pPr>
        <w:jc w:val="both"/>
      </w:pPr>
    </w:p>
    <w:p w14:paraId="7399EB7D" w14:textId="77777777" w:rsidR="00401774" w:rsidRDefault="00000000">
      <w:r>
        <w:rPr>
          <w:b/>
          <w:bCs/>
        </w:rPr>
        <w:t>E. Integrated Evidence: Key Pathways and Empirical Synthesis</w:t>
      </w:r>
    </w:p>
    <w:p w14:paraId="72EC1D88" w14:textId="7143F8A9" w:rsidR="00401774" w:rsidRDefault="00C810F6">
      <w:pPr>
        <w:jc w:val="both"/>
      </w:pPr>
      <w:r>
        <w:tab/>
      </w:r>
      <w:r w:rsidR="00000000">
        <w:t>The following table integrates and synthesizes the primary mediating pathways identified across the 14 reviewed studies, providing a structured overview of the convergent and complementary evidence base that underpins this review's conceptual conclusions.</w:t>
      </w:r>
    </w:p>
    <w:p w14:paraId="6735E5D0" w14:textId="77777777" w:rsidR="00401774" w:rsidRDefault="00401774">
      <w:pPr>
        <w:jc w:val="both"/>
      </w:pPr>
    </w:p>
    <w:p w14:paraId="19BE3CB3" w14:textId="77777777" w:rsidR="00401774" w:rsidRDefault="00000000">
      <w:pPr>
        <w:jc w:val="center"/>
      </w:pPr>
      <w:r>
        <w:rPr>
          <w:b/>
          <w:bCs/>
        </w:rPr>
        <w:t>Table 1</w:t>
      </w:r>
    </w:p>
    <w:p w14:paraId="322B543A" w14:textId="77777777" w:rsidR="00401774" w:rsidRDefault="00000000">
      <w:pPr>
        <w:jc w:val="center"/>
      </w:pPr>
      <w:r>
        <w:rPr>
          <w:b/>
          <w:bCs/>
        </w:rPr>
        <w:t>Summary of Key Psychological Pathways Linking Transformational Leadership to Innovative Work Behavior</w:t>
      </w:r>
    </w:p>
    <w:tbl>
      <w:tblPr>
        <w:tblStyle w:val="a3"/>
        <w:tblW w:w="9026"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2400"/>
        <w:gridCol w:w="4100"/>
        <w:gridCol w:w="2526"/>
      </w:tblGrid>
      <w:tr w:rsidR="00401774" w14:paraId="44F7EA80" w14:textId="77777777">
        <w:tc>
          <w:tcPr>
            <w:tcW w:w="2400" w:type="dxa"/>
          </w:tcPr>
          <w:p w14:paraId="434B0D90" w14:textId="77777777" w:rsidR="00401774" w:rsidRDefault="00000000">
            <w:pPr>
              <w:jc w:val="center"/>
            </w:pPr>
            <w:r>
              <w:rPr>
                <w:b/>
                <w:bCs/>
              </w:rPr>
              <w:t>Pathway</w:t>
            </w:r>
          </w:p>
        </w:tc>
        <w:tc>
          <w:tcPr>
            <w:tcW w:w="4100" w:type="dxa"/>
          </w:tcPr>
          <w:p w14:paraId="315414A5" w14:textId="77777777" w:rsidR="00401774" w:rsidRDefault="00000000">
            <w:pPr>
              <w:jc w:val="center"/>
            </w:pPr>
            <w:r>
              <w:rPr>
                <w:b/>
                <w:bCs/>
              </w:rPr>
              <w:t>Key Finding</w:t>
            </w:r>
          </w:p>
        </w:tc>
        <w:tc>
          <w:tcPr>
            <w:tcW w:w="2526" w:type="dxa"/>
          </w:tcPr>
          <w:p w14:paraId="01A8D4CA" w14:textId="77777777" w:rsidR="00401774" w:rsidRDefault="00000000">
            <w:pPr>
              <w:jc w:val="center"/>
            </w:pPr>
            <w:r>
              <w:rPr>
                <w:b/>
                <w:bCs/>
              </w:rPr>
              <w:t>Source(s)</w:t>
            </w:r>
          </w:p>
        </w:tc>
      </w:tr>
      <w:tr w:rsidR="00401774" w14:paraId="6F304E1E" w14:textId="77777777">
        <w:tc>
          <w:tcPr>
            <w:tcW w:w="2400" w:type="dxa"/>
          </w:tcPr>
          <w:p w14:paraId="75EC1547" w14:textId="77777777" w:rsidR="00401774" w:rsidRDefault="00000000">
            <w:sdt>
              <w:sdtPr>
                <w:tag w:val="goog_rdk_0"/>
                <w:id w:val="-555688706"/>
              </w:sdtPr>
              <w:sdtContent>
                <w:r>
                  <w:rPr>
                    <w:rFonts w:ascii="Cardo" w:eastAsia="Cardo" w:hAnsi="Cardo" w:cs="Cardo"/>
                  </w:rPr>
                  <w:t xml:space="preserve">TL → </w:t>
                </w:r>
                <w:proofErr w:type="spellStart"/>
                <w:r>
                  <w:rPr>
                    <w:rFonts w:ascii="Cardo" w:eastAsia="Cardo" w:hAnsi="Cardo" w:cs="Cardo"/>
                  </w:rPr>
                  <w:t>PsyCap</w:t>
                </w:r>
                <w:proofErr w:type="spellEnd"/>
                <w:r>
                  <w:rPr>
                    <w:rFonts w:ascii="Cardo" w:eastAsia="Cardo" w:hAnsi="Cardo" w:cs="Cardo"/>
                  </w:rPr>
                  <w:t xml:space="preserve"> → IWB</w:t>
                </w:r>
              </w:sdtContent>
            </w:sdt>
          </w:p>
        </w:tc>
        <w:tc>
          <w:tcPr>
            <w:tcW w:w="4100" w:type="dxa"/>
          </w:tcPr>
          <w:p w14:paraId="7CF935DB" w14:textId="77777777" w:rsidR="00401774" w:rsidRDefault="00000000">
            <w:proofErr w:type="spellStart"/>
            <w:r>
              <w:t>PsyCap</w:t>
            </w:r>
            <w:proofErr w:type="spellEnd"/>
            <w:r>
              <w:t xml:space="preserve"> fully mediates; self-efficacy and hope are the most potent components</w:t>
            </w:r>
          </w:p>
        </w:tc>
        <w:tc>
          <w:tcPr>
            <w:tcW w:w="2526" w:type="dxa"/>
          </w:tcPr>
          <w:p w14:paraId="7F941681" w14:textId="77777777" w:rsidR="00401774" w:rsidRDefault="00000000">
            <w:r>
              <w:t>Karimi et al. (2023); Bak et al. (2021); Brunetto et al. (2021)</w:t>
            </w:r>
          </w:p>
        </w:tc>
      </w:tr>
      <w:tr w:rsidR="00401774" w14:paraId="16EF2A52" w14:textId="77777777">
        <w:tc>
          <w:tcPr>
            <w:tcW w:w="2400" w:type="dxa"/>
          </w:tcPr>
          <w:p w14:paraId="2B31CD76" w14:textId="77777777" w:rsidR="00401774" w:rsidRDefault="00000000">
            <w:sdt>
              <w:sdtPr>
                <w:tag w:val="goog_rdk_1"/>
                <w:id w:val="869268262"/>
              </w:sdtPr>
              <w:sdtContent>
                <w:r>
                  <w:rPr>
                    <w:rFonts w:ascii="Cardo" w:eastAsia="Cardo" w:hAnsi="Cardo" w:cs="Cardo"/>
                  </w:rPr>
                  <w:t>TL → Basic Needs → IWB</w:t>
                </w:r>
              </w:sdtContent>
            </w:sdt>
          </w:p>
        </w:tc>
        <w:tc>
          <w:tcPr>
            <w:tcW w:w="4100" w:type="dxa"/>
          </w:tcPr>
          <w:p w14:paraId="30A3E562" w14:textId="77777777" w:rsidR="00401774" w:rsidRDefault="00000000">
            <w:r>
              <w:t>Autonomy and competence satisfaction fully/partially mediate the TL-IWB link in educational contexts</w:t>
            </w:r>
          </w:p>
        </w:tc>
        <w:tc>
          <w:tcPr>
            <w:tcW w:w="2526" w:type="dxa"/>
          </w:tcPr>
          <w:p w14:paraId="1AA3BF50" w14:textId="77777777" w:rsidR="00401774" w:rsidRDefault="00000000">
            <w:r>
              <w:t>Messmann et al. (2021)</w:t>
            </w:r>
          </w:p>
        </w:tc>
      </w:tr>
      <w:tr w:rsidR="00401774" w14:paraId="0FA26869" w14:textId="77777777">
        <w:tc>
          <w:tcPr>
            <w:tcW w:w="2400" w:type="dxa"/>
          </w:tcPr>
          <w:p w14:paraId="70373F7D" w14:textId="77777777" w:rsidR="00401774" w:rsidRDefault="00000000">
            <w:sdt>
              <w:sdtPr>
                <w:tag w:val="goog_rdk_2"/>
                <w:id w:val="1014274061"/>
              </w:sdtPr>
              <w:sdtContent>
                <w:r>
                  <w:rPr>
                    <w:rFonts w:ascii="Cardo" w:eastAsia="Cardo" w:hAnsi="Cardo" w:cs="Cardo"/>
                  </w:rPr>
                  <w:t>TL → Knowledge Sharing → IWB</w:t>
                </w:r>
              </w:sdtContent>
            </w:sdt>
          </w:p>
        </w:tc>
        <w:tc>
          <w:tcPr>
            <w:tcW w:w="4100" w:type="dxa"/>
          </w:tcPr>
          <w:p w14:paraId="128B84FD" w14:textId="77777777" w:rsidR="00401774" w:rsidRDefault="00000000">
            <w:r>
              <w:t>Knowledge sharing mediates and moderates; effect amplified under pandemic job stress</w:t>
            </w:r>
          </w:p>
        </w:tc>
        <w:tc>
          <w:tcPr>
            <w:tcW w:w="2526" w:type="dxa"/>
          </w:tcPr>
          <w:p w14:paraId="0D79AB04" w14:textId="77777777" w:rsidR="00401774" w:rsidRDefault="00000000">
            <w:r>
              <w:t>Rafique et al. (2022); Saif et al. (2024)</w:t>
            </w:r>
          </w:p>
        </w:tc>
      </w:tr>
      <w:tr w:rsidR="00401774" w14:paraId="4A93A3BC" w14:textId="77777777">
        <w:tc>
          <w:tcPr>
            <w:tcW w:w="2400" w:type="dxa"/>
          </w:tcPr>
          <w:p w14:paraId="648C4136" w14:textId="77777777" w:rsidR="00401774" w:rsidRDefault="00000000">
            <w:sdt>
              <w:sdtPr>
                <w:tag w:val="goog_rdk_3"/>
                <w:id w:val="-1706782088"/>
              </w:sdtPr>
              <w:sdtContent>
                <w:r>
                  <w:rPr>
                    <w:rFonts w:ascii="Cardo" w:eastAsia="Cardo" w:hAnsi="Cardo" w:cs="Cardo"/>
                  </w:rPr>
                  <w:t xml:space="preserve">Leader </w:t>
                </w:r>
                <w:proofErr w:type="spellStart"/>
                <w:r>
                  <w:rPr>
                    <w:rFonts w:ascii="Cardo" w:eastAsia="Cardo" w:hAnsi="Cardo" w:cs="Cardo"/>
                  </w:rPr>
                  <w:t>PsyCap</w:t>
                </w:r>
                <w:proofErr w:type="spellEnd"/>
                <w:r>
                  <w:rPr>
                    <w:rFonts w:ascii="Cardo" w:eastAsia="Cardo" w:hAnsi="Cardo" w:cs="Cardo"/>
                  </w:rPr>
                  <w:t xml:space="preserve"> → Psych. Safety → IWB</w:t>
                </w:r>
              </w:sdtContent>
            </w:sdt>
          </w:p>
        </w:tc>
        <w:tc>
          <w:tcPr>
            <w:tcW w:w="4100" w:type="dxa"/>
          </w:tcPr>
          <w:p w14:paraId="73AE8FE1" w14:textId="77777777" w:rsidR="00401774" w:rsidRDefault="00000000">
            <w:r>
              <w:t>Leader capital generates team psychological safety that cascades to subordinate innovation</w:t>
            </w:r>
          </w:p>
        </w:tc>
        <w:tc>
          <w:tcPr>
            <w:tcW w:w="2526" w:type="dxa"/>
          </w:tcPr>
          <w:p w14:paraId="0AD28DB9" w14:textId="77777777" w:rsidR="00401774" w:rsidRDefault="00000000">
            <w:r>
              <w:t>Wang et al. (2021)</w:t>
            </w:r>
          </w:p>
        </w:tc>
      </w:tr>
      <w:tr w:rsidR="00401774" w14:paraId="33921BFA" w14:textId="77777777">
        <w:tc>
          <w:tcPr>
            <w:tcW w:w="2400" w:type="dxa"/>
          </w:tcPr>
          <w:p w14:paraId="1CFD3F9C" w14:textId="77777777" w:rsidR="00401774" w:rsidRDefault="00000000">
            <w:sdt>
              <w:sdtPr>
                <w:tag w:val="goog_rdk_4"/>
                <w:id w:val="-1556504837"/>
              </w:sdtPr>
              <w:sdtContent>
                <w:r>
                  <w:rPr>
                    <w:rFonts w:ascii="Cardo" w:eastAsia="Cardo" w:hAnsi="Cardo" w:cs="Cardo"/>
                  </w:rPr>
                  <w:t>HR Practices → Psych. Safety → IWB</w:t>
                </w:r>
              </w:sdtContent>
            </w:sdt>
          </w:p>
        </w:tc>
        <w:tc>
          <w:tcPr>
            <w:tcW w:w="4100" w:type="dxa"/>
          </w:tcPr>
          <w:p w14:paraId="3A7E151F" w14:textId="77777777" w:rsidR="00401774" w:rsidRDefault="00000000">
            <w:r>
              <w:t>Psychological safety fully mediates ambidextrous HR practices and innovation performance</w:t>
            </w:r>
          </w:p>
        </w:tc>
        <w:tc>
          <w:tcPr>
            <w:tcW w:w="2526" w:type="dxa"/>
          </w:tcPr>
          <w:p w14:paraId="11FD0AC0" w14:textId="77777777" w:rsidR="00401774" w:rsidRDefault="00000000">
            <w:r>
              <w:t>Zhao et al. (2022)</w:t>
            </w:r>
          </w:p>
        </w:tc>
      </w:tr>
      <w:tr w:rsidR="00401774" w14:paraId="3A1948E4" w14:textId="77777777">
        <w:tc>
          <w:tcPr>
            <w:tcW w:w="2400" w:type="dxa"/>
          </w:tcPr>
          <w:p w14:paraId="07481074" w14:textId="77777777" w:rsidR="00401774" w:rsidRDefault="00000000">
            <w:sdt>
              <w:sdtPr>
                <w:tag w:val="goog_rdk_5"/>
                <w:id w:val="678277505"/>
              </w:sdtPr>
              <w:sdtContent>
                <w:r>
                  <w:rPr>
                    <w:rFonts w:ascii="Cardo" w:eastAsia="Cardo" w:hAnsi="Cardo" w:cs="Cardo"/>
                  </w:rPr>
                  <w:t>Ethical Leadership → Safety → Engagement → IWB</w:t>
                </w:r>
              </w:sdtContent>
            </w:sdt>
          </w:p>
        </w:tc>
        <w:tc>
          <w:tcPr>
            <w:tcW w:w="4100" w:type="dxa"/>
          </w:tcPr>
          <w:p w14:paraId="72ABE251" w14:textId="77777777" w:rsidR="00401774" w:rsidRDefault="00000000">
            <w:r>
              <w:t>Sequential mediation: safety and work engagement serially transmit leadership effects</w:t>
            </w:r>
          </w:p>
        </w:tc>
        <w:tc>
          <w:tcPr>
            <w:tcW w:w="2526" w:type="dxa"/>
          </w:tcPr>
          <w:p w14:paraId="471635C3" w14:textId="77777777" w:rsidR="00401774" w:rsidRDefault="00000000">
            <w:r>
              <w:t>Liu et al. (2023)</w:t>
            </w:r>
          </w:p>
        </w:tc>
      </w:tr>
      <w:tr w:rsidR="00401774" w14:paraId="21F65C91" w14:textId="77777777">
        <w:tc>
          <w:tcPr>
            <w:tcW w:w="2400" w:type="dxa"/>
          </w:tcPr>
          <w:p w14:paraId="770E1E81" w14:textId="77777777" w:rsidR="00401774" w:rsidRDefault="00000000">
            <w:sdt>
              <w:sdtPr>
                <w:tag w:val="goog_rdk_6"/>
                <w:id w:val="285898762"/>
              </w:sdtPr>
              <w:sdtContent>
                <w:r>
                  <w:rPr>
                    <w:rFonts w:ascii="Cardo" w:eastAsia="Cardo" w:hAnsi="Cardo" w:cs="Cardo"/>
                  </w:rPr>
                  <w:t>Servant Leadership → Safety → Well-being → Creativity</w:t>
                </w:r>
              </w:sdtContent>
            </w:sdt>
          </w:p>
        </w:tc>
        <w:tc>
          <w:tcPr>
            <w:tcW w:w="4100" w:type="dxa"/>
          </w:tcPr>
          <w:p w14:paraId="73B5263C" w14:textId="77777777" w:rsidR="00401774" w:rsidRDefault="00000000">
            <w:r>
              <w:t>Safety and well-being sequentially mediate servant leadership's effect on creativity</w:t>
            </w:r>
          </w:p>
        </w:tc>
        <w:tc>
          <w:tcPr>
            <w:tcW w:w="2526" w:type="dxa"/>
          </w:tcPr>
          <w:p w14:paraId="0788B0E1" w14:textId="77777777" w:rsidR="00401774" w:rsidRDefault="00000000">
            <w:r>
              <w:t>Wang et al. (2022)</w:t>
            </w:r>
          </w:p>
        </w:tc>
      </w:tr>
    </w:tbl>
    <w:p w14:paraId="0349DC54" w14:textId="77777777" w:rsidR="00401774" w:rsidRDefault="00000000">
      <w:pPr>
        <w:jc w:val="both"/>
        <w:rPr>
          <w:i/>
          <w:iCs/>
        </w:rPr>
      </w:pPr>
      <w:r>
        <w:rPr>
          <w:i/>
          <w:iCs/>
        </w:rPr>
        <w:t xml:space="preserve">Note. TL = Transformational Leadership; IWB = Innovative Work Behavior; </w:t>
      </w:r>
      <w:proofErr w:type="spellStart"/>
      <w:r>
        <w:rPr>
          <w:i/>
          <w:iCs/>
        </w:rPr>
        <w:t>PsyCap</w:t>
      </w:r>
      <w:proofErr w:type="spellEnd"/>
      <w:r>
        <w:rPr>
          <w:i/>
          <w:iCs/>
        </w:rPr>
        <w:t xml:space="preserve"> = Psychological Capital; Psych. Safety = Psychological Safety.</w:t>
      </w:r>
    </w:p>
    <w:p w14:paraId="43963817" w14:textId="77777777" w:rsidR="00401774" w:rsidRDefault="00401774">
      <w:pPr>
        <w:jc w:val="both"/>
      </w:pPr>
    </w:p>
    <w:p w14:paraId="74F29F53" w14:textId="57A7697F" w:rsidR="00401774" w:rsidRDefault="00C810F6">
      <w:pPr>
        <w:jc w:val="both"/>
      </w:pPr>
      <w:r>
        <w:tab/>
      </w:r>
      <w:r w:rsidR="00000000">
        <w:t xml:space="preserve">As Table 1 illustrates, the reviewed literature converges on a tripartite model of psychological mediation that is theoretically coherent and empirically supported. The three pathways, through </w:t>
      </w:r>
      <w:proofErr w:type="spellStart"/>
      <w:r w:rsidR="00000000">
        <w:t>PsyCap</w:t>
      </w:r>
      <w:proofErr w:type="spellEnd"/>
      <w:r w:rsidR="00000000">
        <w:t xml:space="preserve">, basic psychological needs, and psychological safety, are not mutually exclusive but theoretically complementary and empirically convergent. </w:t>
      </w:r>
      <w:proofErr w:type="spellStart"/>
      <w:r w:rsidR="00000000">
        <w:t>PsyCap</w:t>
      </w:r>
      <w:proofErr w:type="spellEnd"/>
      <w:r w:rsidR="00000000">
        <w:t xml:space="preserve"> represents the positive psychological resources employees carry into innovative endeavors, functioning as motivational fuel for creative persistence. Basic needs satisfaction represents the autonomy-supportive and competence-affirming conditions that transformational leadership generates, enabling internalized and autonomous motivation rather than extrinsic compliance. Psychological safety represents the relational and climatic condition, generated by leadership behavior and organizational HR practices, that makes it organizationally safe and interpersonally rational to deploy these resources in service of innovation. Together, these three mechanisms constitute a comprehensive psychological infrastructure through which leadership translates into individual innovative action.</w:t>
      </w:r>
    </w:p>
    <w:p w14:paraId="1AD7233F" w14:textId="77777777" w:rsidR="00401774" w:rsidRDefault="00401774">
      <w:pPr>
        <w:jc w:val="both"/>
      </w:pPr>
    </w:p>
    <w:p w14:paraId="4A6FF789" w14:textId="77777777" w:rsidR="00401774" w:rsidRDefault="00000000">
      <w:r>
        <w:rPr>
          <w:b/>
          <w:bCs/>
        </w:rPr>
        <w:t>F. Contextual Amplifiers: Knowledge Sharing, Organizational Sector, and HR Practices</w:t>
      </w:r>
    </w:p>
    <w:p w14:paraId="44781FD5" w14:textId="77777777" w:rsidR="00401774" w:rsidRDefault="00000000" w:rsidP="00C810F6">
      <w:pPr>
        <w:spacing w:after="120"/>
        <w:ind w:firstLine="720"/>
        <w:jc w:val="both"/>
      </w:pPr>
      <w:r>
        <w:t>Beyond the three core psychological pathways, the reviewed literature identifies several contextual factors that amplify or constrain the transformational leadership-innovation relationship. Knowledge sharing is a particularly salient mechanism: Rafique et al. (2022) showed that it simultaneously mediates and moderates the TL-IWB link, with the moderating effect intensified under pandemic-related job stress. Saif et al. (2024) extended this finding by demonstrating that knowledge sharing also mediates transformational leadership's effect on task performance, underscoring its role as a broadly enabling organizational process that converts leadership motivation into multiple performance outcomes.</w:t>
      </w:r>
    </w:p>
    <w:p w14:paraId="4F69F8C8" w14:textId="77777777" w:rsidR="00401774" w:rsidRDefault="00000000" w:rsidP="00C810F6">
      <w:pPr>
        <w:spacing w:after="120"/>
        <w:ind w:firstLine="720"/>
        <w:jc w:val="both"/>
      </w:pPr>
      <w:r>
        <w:t xml:space="preserve">Organizational sector introduces important contextual nuance into the interpretation of these findings. Studies conducted in public sector environments (Bak et al., 2021; Brunetto et al., 2021) consistently demonstrate that </w:t>
      </w:r>
      <w:proofErr w:type="spellStart"/>
      <w:r>
        <w:t>PsyCap</w:t>
      </w:r>
      <w:proofErr w:type="spellEnd"/>
      <w:r>
        <w:t xml:space="preserve">-mediated innovation pathways operate even within institutionally constrained, hierarchically rigid, and risk-averse bureaucratic contexts, though the magnitude of effects may be moderated by institutional culture. SME contexts (Nasir et al., 2022; Iqbal et al., 2021) appear to provide more enabling environments for transformational leadership's direct and indirect innovation effects, reflecting the greater interpersonal proximity between leaders and followers, the flatter organizational hierarchies, and the greater strategic agility characteristic of smaller organizations. Educational settings (Messmann et al., 2021) uniquely highlight the centrality of professional competence as a motivational construct, </w:t>
      </w:r>
      <w:r>
        <w:lastRenderedPageBreak/>
        <w:t>consistent with the expert identity and autonomy orientation of knowledge workers in professional contexts.</w:t>
      </w:r>
    </w:p>
    <w:p w14:paraId="2F79F8A8" w14:textId="77777777" w:rsidR="00401774" w:rsidRDefault="00000000" w:rsidP="00C810F6">
      <w:pPr>
        <w:ind w:firstLine="720"/>
        <w:jc w:val="both"/>
      </w:pPr>
      <w:r>
        <w:t>Human resource management practices constitute a final and increasingly recognized contextual amplifier. Zhao et al. (2022) demonstrated that ambidextrous HR practices, which simultaneously emphasize exploratory innovation behaviors and exploitative performance behaviors, require psychological safety as a mediating condition to produce their intended innovation effects. This finding has significant strategic implications: organizations that invest in innovation-oriented HR systems without simultaneously cultivating psychological safety are unlikely to realize the behavioral outcomes these systems are designed to produce. HR strategy and organizational climate are therefore most productively conceptualized as jointly determined conditions that must be coherent to unlock individual-level innovative potential.</w:t>
      </w:r>
    </w:p>
    <w:p w14:paraId="7545235D" w14:textId="77777777" w:rsidR="00401774" w:rsidRDefault="00401774">
      <w:pPr>
        <w:spacing w:line="276" w:lineRule="auto"/>
        <w:jc w:val="both"/>
      </w:pPr>
    </w:p>
    <w:p w14:paraId="786A9AEC" w14:textId="77777777" w:rsidR="00401774" w:rsidRDefault="00000000">
      <w:pPr>
        <w:jc w:val="both"/>
        <w:rPr>
          <w:b/>
          <w:bCs/>
        </w:rPr>
      </w:pPr>
      <w:r>
        <w:rPr>
          <w:b/>
          <w:bCs/>
        </w:rPr>
        <w:t>CONCLUSION</w:t>
      </w:r>
    </w:p>
    <w:p w14:paraId="2CC63E8E" w14:textId="77777777" w:rsidR="00401774" w:rsidRDefault="00000000">
      <w:pPr>
        <w:jc w:val="both"/>
      </w:pPr>
      <w:r>
        <w:t xml:space="preserve">Transformational leadership consistently predicts employee innovative work behavior, operating primarily through psychological capital, basic needs satisfaction, and psychological safety as mediating mechanisms. These three pathways collectively constitute the psychological infrastructure through which leadership translates into innovation. Knowledge sharing and HR practices further amplify these effects. Organizations should simultaneously invest in transformational leadership development, </w:t>
      </w:r>
      <w:proofErr w:type="spellStart"/>
      <w:r>
        <w:t>PsyCap</w:t>
      </w:r>
      <w:proofErr w:type="spellEnd"/>
      <w:r>
        <w:t xml:space="preserve"> training, and psychological safety climate initiatives to sustainably elevate employee innovation. Future research should examine these pathways longitudinally and cross-culturally to deepen understanding of their boundary conditions.</w:t>
      </w:r>
    </w:p>
    <w:p w14:paraId="4C5A99F0" w14:textId="77777777" w:rsidR="00401774" w:rsidRDefault="00401774">
      <w:pPr>
        <w:ind w:right="282"/>
        <w:rPr>
          <w:b/>
          <w:bCs/>
        </w:rPr>
      </w:pPr>
    </w:p>
    <w:p w14:paraId="4AD0698C" w14:textId="77777777" w:rsidR="00401774" w:rsidRDefault="00000000">
      <w:pPr>
        <w:pBdr>
          <w:top w:val="nil"/>
          <w:left w:val="nil"/>
          <w:bottom w:val="nil"/>
          <w:right w:val="nil"/>
          <w:between w:val="nil"/>
        </w:pBdr>
        <w:ind w:right="-42"/>
        <w:jc w:val="both"/>
        <w:rPr>
          <w:color w:val="000000"/>
        </w:rPr>
      </w:pPr>
      <w:r>
        <w:rPr>
          <w:b/>
          <w:bCs/>
          <w:color w:val="000000"/>
        </w:rPr>
        <w:t>REFERENCES</w:t>
      </w:r>
    </w:p>
    <w:p w14:paraId="386E0623" w14:textId="77777777" w:rsidR="00401774" w:rsidRDefault="00000000">
      <w:pPr>
        <w:ind w:left="720" w:hanging="720"/>
        <w:jc w:val="both"/>
      </w:pPr>
      <w:r>
        <w:rPr>
          <w:sz w:val="22"/>
          <w:szCs w:val="22"/>
        </w:rPr>
        <w:t xml:space="preserve">Alhitmi, H., Shah, S., </w:t>
      </w:r>
      <w:proofErr w:type="spellStart"/>
      <w:r>
        <w:rPr>
          <w:sz w:val="22"/>
          <w:szCs w:val="22"/>
        </w:rPr>
        <w:t>Kishwer</w:t>
      </w:r>
      <w:proofErr w:type="spellEnd"/>
      <w:r>
        <w:rPr>
          <w:sz w:val="22"/>
          <w:szCs w:val="22"/>
        </w:rPr>
        <w:t xml:space="preserve">, R., Aman, N., </w:t>
      </w:r>
      <w:proofErr w:type="spellStart"/>
      <w:r>
        <w:rPr>
          <w:sz w:val="22"/>
          <w:szCs w:val="22"/>
        </w:rPr>
        <w:t>Fahlevi</w:t>
      </w:r>
      <w:proofErr w:type="spellEnd"/>
      <w:r>
        <w:rPr>
          <w:sz w:val="22"/>
          <w:szCs w:val="22"/>
        </w:rPr>
        <w:t xml:space="preserve">, M., </w:t>
      </w:r>
      <w:proofErr w:type="spellStart"/>
      <w:r>
        <w:rPr>
          <w:sz w:val="22"/>
          <w:szCs w:val="22"/>
        </w:rPr>
        <w:t>Aljuaid</w:t>
      </w:r>
      <w:proofErr w:type="spellEnd"/>
      <w:r>
        <w:rPr>
          <w:sz w:val="22"/>
          <w:szCs w:val="22"/>
        </w:rPr>
        <w:t>, M., &amp; Heidler, P. (2023). Marketing from leadership to innovation: A mediated moderation model investigating how transformational leadership impacts employees' innovative behavior. Sustainability. https://doi.org/10.3390/su152216087</w:t>
      </w:r>
    </w:p>
    <w:p w14:paraId="6FEE443A" w14:textId="77777777" w:rsidR="00401774" w:rsidRDefault="00000000">
      <w:pPr>
        <w:ind w:left="720" w:hanging="720"/>
        <w:jc w:val="both"/>
      </w:pPr>
      <w:r>
        <w:rPr>
          <w:sz w:val="22"/>
          <w:szCs w:val="22"/>
        </w:rPr>
        <w:t>Amabile, T. M. (1988). A model of creativity and innovation in organizations. Research in Organizational Behavior, 10, 123–167.</w:t>
      </w:r>
    </w:p>
    <w:p w14:paraId="22BC6B45" w14:textId="77777777" w:rsidR="00401774" w:rsidRDefault="00000000">
      <w:pPr>
        <w:ind w:left="720" w:hanging="720"/>
        <w:jc w:val="both"/>
      </w:pPr>
      <w:r>
        <w:rPr>
          <w:sz w:val="22"/>
          <w:szCs w:val="22"/>
        </w:rPr>
        <w:t>Avolio, B. J., &amp; Bass, B. M. (1995). Individual consideration viewed at multiple levels of analysis: A multi-level framework for examining the diffusion of transformational leadership. The Leadership Quarterly, 6(2), 199–218. https://doi.org/10.1016/1048-9843(95)90035-7</w:t>
      </w:r>
    </w:p>
    <w:p w14:paraId="316BF5D5" w14:textId="77777777" w:rsidR="00401774" w:rsidRDefault="00000000">
      <w:pPr>
        <w:ind w:left="720" w:hanging="720"/>
        <w:jc w:val="both"/>
      </w:pPr>
      <w:r>
        <w:rPr>
          <w:sz w:val="22"/>
          <w:szCs w:val="22"/>
        </w:rPr>
        <w:t>Bak, H., Jin, M., &amp; McDonald, B. (2021). Unpacking the transformational leadership-innovative work behavior relationship: The mediating role of psychological capital. Public Performance &amp; Management Review, 45, 80–105. https://doi.org/10.1080/15309576.2021.1939737</w:t>
      </w:r>
    </w:p>
    <w:p w14:paraId="15C2B5F6" w14:textId="77777777" w:rsidR="00401774" w:rsidRDefault="00000000">
      <w:pPr>
        <w:ind w:left="720" w:hanging="720"/>
        <w:jc w:val="both"/>
      </w:pPr>
      <w:r>
        <w:rPr>
          <w:sz w:val="22"/>
          <w:szCs w:val="22"/>
        </w:rPr>
        <w:t>Bandura, A. (1977). Self-efficacy: Toward a unifying theory of behavioral change. Psychological Review, 84(2), 191–215. https://doi.org/10.1037/0033-295X.84.2.191</w:t>
      </w:r>
    </w:p>
    <w:p w14:paraId="69CB6014" w14:textId="77777777" w:rsidR="00401774" w:rsidRDefault="00000000">
      <w:pPr>
        <w:ind w:left="720" w:hanging="720"/>
        <w:jc w:val="both"/>
      </w:pPr>
      <w:r>
        <w:rPr>
          <w:sz w:val="22"/>
          <w:szCs w:val="22"/>
        </w:rPr>
        <w:t>Bass, B. M. (1985). Leadership and performance beyond expectations. Free Press.</w:t>
      </w:r>
    </w:p>
    <w:p w14:paraId="3A31C492" w14:textId="77777777" w:rsidR="00401774" w:rsidRDefault="00000000">
      <w:pPr>
        <w:ind w:left="720" w:hanging="720"/>
        <w:jc w:val="both"/>
      </w:pPr>
      <w:r>
        <w:rPr>
          <w:sz w:val="22"/>
          <w:szCs w:val="22"/>
        </w:rPr>
        <w:t xml:space="preserve">Brunetto, Y., Saheli, N., Dick, T., &amp; Nelson, S. (2021). Psychosocial safety climate, psychological capital, healthcare SLBs' wellbeing and innovative </w:t>
      </w:r>
      <w:proofErr w:type="spellStart"/>
      <w:r>
        <w:rPr>
          <w:sz w:val="22"/>
          <w:szCs w:val="22"/>
        </w:rPr>
        <w:t>behaviour</w:t>
      </w:r>
      <w:proofErr w:type="spellEnd"/>
      <w:r>
        <w:rPr>
          <w:sz w:val="22"/>
          <w:szCs w:val="22"/>
        </w:rPr>
        <w:t xml:space="preserve"> during the COVID-19 pandemic. Public Performance &amp; Management Review, 45, 751–772. https://doi.org/10.1080/15309576.2021.1918189</w:t>
      </w:r>
    </w:p>
    <w:p w14:paraId="224EDEB2" w14:textId="77777777" w:rsidR="00401774" w:rsidRDefault="00000000">
      <w:pPr>
        <w:ind w:left="720" w:hanging="720"/>
        <w:jc w:val="both"/>
      </w:pPr>
      <w:r>
        <w:rPr>
          <w:sz w:val="22"/>
          <w:szCs w:val="22"/>
        </w:rPr>
        <w:t>Carmeli, A., Reiter-</w:t>
      </w:r>
      <w:proofErr w:type="spellStart"/>
      <w:r>
        <w:rPr>
          <w:sz w:val="22"/>
          <w:szCs w:val="22"/>
        </w:rPr>
        <w:t>Palmon</w:t>
      </w:r>
      <w:proofErr w:type="spellEnd"/>
      <w:r>
        <w:rPr>
          <w:sz w:val="22"/>
          <w:szCs w:val="22"/>
        </w:rPr>
        <w:t>, R., &amp; Ziv, E. (2010). Inclusive leadership and employee involvement in creative tasks in the workplace: The mediating role of psychological safety. Creativity Research Journal, 22(3), 250–260. https://doi.org/10.1080/10400419.2010.504654</w:t>
      </w:r>
    </w:p>
    <w:p w14:paraId="46C21B58" w14:textId="77777777" w:rsidR="00401774" w:rsidRDefault="00000000">
      <w:pPr>
        <w:ind w:left="720" w:hanging="720"/>
        <w:jc w:val="both"/>
      </w:pPr>
      <w:r>
        <w:rPr>
          <w:sz w:val="22"/>
          <w:szCs w:val="22"/>
        </w:rPr>
        <w:lastRenderedPageBreak/>
        <w:t>Deci, E. L., &amp; Ryan, R. M. (2000). The “what” and “why” of goal pursuits: Human needs and the self-determination of behavior. Psychological Inquiry, 11(4), 227–268. https://doi.org/10.1207/S15327965PLI1104_01</w:t>
      </w:r>
    </w:p>
    <w:p w14:paraId="1F9FE027" w14:textId="77777777" w:rsidR="00401774" w:rsidRDefault="00000000">
      <w:pPr>
        <w:ind w:left="720" w:hanging="720"/>
        <w:jc w:val="both"/>
      </w:pPr>
      <w:r>
        <w:rPr>
          <w:sz w:val="22"/>
          <w:szCs w:val="22"/>
        </w:rPr>
        <w:t>Edmondson, A. C. (1999). Psychological safety and learning behavior in work teams. Administrative Science Quarterly, 44(2), 350–383. https://doi.org/10.2307/2666999</w:t>
      </w:r>
    </w:p>
    <w:p w14:paraId="53670232" w14:textId="77777777" w:rsidR="00401774" w:rsidRDefault="00000000">
      <w:pPr>
        <w:ind w:left="720" w:hanging="720"/>
        <w:jc w:val="both"/>
      </w:pPr>
      <w:proofErr w:type="spellStart"/>
      <w:r>
        <w:rPr>
          <w:sz w:val="22"/>
          <w:szCs w:val="22"/>
        </w:rPr>
        <w:t>Hobfoll</w:t>
      </w:r>
      <w:proofErr w:type="spellEnd"/>
      <w:r>
        <w:rPr>
          <w:sz w:val="22"/>
          <w:szCs w:val="22"/>
        </w:rPr>
        <w:t>, S. E. (1989). Conservation of resources: A new attempt at conceptualizing stress. American Psychologist, 44(3), 513–524. https://doi.org/10.1037/0003-066X.44.3.513</w:t>
      </w:r>
    </w:p>
    <w:p w14:paraId="31CC23B0" w14:textId="77777777" w:rsidR="00401774" w:rsidRDefault="00000000">
      <w:pPr>
        <w:ind w:left="720" w:hanging="720"/>
        <w:jc w:val="both"/>
      </w:pPr>
      <w:r>
        <w:rPr>
          <w:sz w:val="22"/>
          <w:szCs w:val="22"/>
        </w:rPr>
        <w:t>Iqbal, S., Martins, J., Mata, M., Naz, S., Akhtar, S., &amp; Abreu, A. (2021). Linking entrepreneurial orientation with innovation performance in SMEs; the role of organizational commitment and transformational leadership using Smart PLS-SEM. Sustainability, 13, 4361. https://doi.org/10.3390/su13084361</w:t>
      </w:r>
    </w:p>
    <w:p w14:paraId="7F81E383" w14:textId="77777777" w:rsidR="00401774" w:rsidRDefault="00000000">
      <w:pPr>
        <w:ind w:left="720" w:hanging="720"/>
        <w:jc w:val="both"/>
      </w:pPr>
      <w:r>
        <w:rPr>
          <w:sz w:val="22"/>
          <w:szCs w:val="22"/>
        </w:rPr>
        <w:t xml:space="preserve">Janssen, O. (2000). Job demands, perceptions of effort-reward fairness and innovative work </w:t>
      </w:r>
      <w:proofErr w:type="spellStart"/>
      <w:r>
        <w:rPr>
          <w:sz w:val="22"/>
          <w:szCs w:val="22"/>
        </w:rPr>
        <w:t>behaviour</w:t>
      </w:r>
      <w:proofErr w:type="spellEnd"/>
      <w:r>
        <w:rPr>
          <w:sz w:val="22"/>
          <w:szCs w:val="22"/>
        </w:rPr>
        <w:t>. Journal of Occupational and Organizational Psychology, 73(3), 287–302. https://doi.org/10.1348/096317900167038</w:t>
      </w:r>
    </w:p>
    <w:p w14:paraId="35020ADB" w14:textId="77777777" w:rsidR="00401774" w:rsidRDefault="00000000">
      <w:pPr>
        <w:ind w:left="720" w:hanging="720"/>
        <w:jc w:val="both"/>
      </w:pPr>
      <w:r>
        <w:rPr>
          <w:sz w:val="22"/>
          <w:szCs w:val="22"/>
        </w:rPr>
        <w:t xml:space="preserve">Karimi, S., Malek, F., Farani, A., &amp; </w:t>
      </w:r>
      <w:proofErr w:type="spellStart"/>
      <w:r>
        <w:rPr>
          <w:sz w:val="22"/>
          <w:szCs w:val="22"/>
        </w:rPr>
        <w:t>Liobikiene</w:t>
      </w:r>
      <w:proofErr w:type="spellEnd"/>
      <w:r>
        <w:rPr>
          <w:sz w:val="22"/>
          <w:szCs w:val="22"/>
        </w:rPr>
        <w:t>, G. (2023). The role of transformational leadership in developing innovative work behaviors: The mediating role of employees' psychological capital. Sustainability. https://doi.org/10.3390/su15021267</w:t>
      </w:r>
    </w:p>
    <w:p w14:paraId="2A674D8D" w14:textId="77777777" w:rsidR="00401774" w:rsidRDefault="00000000">
      <w:pPr>
        <w:ind w:left="720" w:hanging="720"/>
        <w:jc w:val="both"/>
      </w:pPr>
      <w:r>
        <w:rPr>
          <w:sz w:val="22"/>
          <w:szCs w:val="22"/>
        </w:rPr>
        <w:t>Liu, X., Huang, Y., Kim, J., &amp; Na, S. (2023). How ethical leadership cultivates innovative work behaviors in employees? Psychological safety, work engagement and openness to experience. Sustainability. https://doi.org/10.3390/su15043452</w:t>
      </w:r>
    </w:p>
    <w:p w14:paraId="5816D377" w14:textId="77777777" w:rsidR="00401774" w:rsidRDefault="00000000">
      <w:pPr>
        <w:ind w:left="720" w:hanging="720"/>
        <w:jc w:val="both"/>
      </w:pPr>
      <w:r>
        <w:rPr>
          <w:sz w:val="22"/>
          <w:szCs w:val="22"/>
        </w:rPr>
        <w:t>Luthans, F., Youssef, C. M., &amp; Avolio, B. J. (2007). Psychological capital: Developing the human competitive edge. Oxford University Press.</w:t>
      </w:r>
    </w:p>
    <w:p w14:paraId="7EBB73BD" w14:textId="77777777" w:rsidR="00401774" w:rsidRDefault="00000000">
      <w:pPr>
        <w:ind w:left="720" w:hanging="720"/>
        <w:jc w:val="both"/>
      </w:pPr>
      <w:r>
        <w:rPr>
          <w:sz w:val="22"/>
          <w:szCs w:val="22"/>
        </w:rPr>
        <w:t xml:space="preserve">Messmann, G., Evers, A., &amp; </w:t>
      </w:r>
      <w:proofErr w:type="spellStart"/>
      <w:r>
        <w:rPr>
          <w:sz w:val="22"/>
          <w:szCs w:val="22"/>
        </w:rPr>
        <w:t>Kreijns</w:t>
      </w:r>
      <w:proofErr w:type="spellEnd"/>
      <w:r>
        <w:rPr>
          <w:sz w:val="22"/>
          <w:szCs w:val="22"/>
        </w:rPr>
        <w:t>, K. (2021). The role of basic psychological needs satisfaction in the relationship between transformational leadership and innovative work behavior. Human Resource Development Quarterly. https://doi.org/10.1002/hrdq.21451</w:t>
      </w:r>
    </w:p>
    <w:p w14:paraId="78540EFF" w14:textId="77777777" w:rsidR="00401774" w:rsidRDefault="00000000">
      <w:pPr>
        <w:ind w:left="720" w:hanging="720"/>
        <w:jc w:val="both"/>
      </w:pPr>
      <w:r>
        <w:rPr>
          <w:sz w:val="22"/>
          <w:szCs w:val="22"/>
        </w:rPr>
        <w:t xml:space="preserve">Nasir, J., Ibrahim, R., Sarwar, M., Sarwar, B., Al-Rahmi, W., </w:t>
      </w:r>
      <w:proofErr w:type="spellStart"/>
      <w:r>
        <w:rPr>
          <w:sz w:val="22"/>
          <w:szCs w:val="22"/>
        </w:rPr>
        <w:t>Alturise</w:t>
      </w:r>
      <w:proofErr w:type="spellEnd"/>
      <w:r>
        <w:rPr>
          <w:sz w:val="22"/>
          <w:szCs w:val="22"/>
        </w:rPr>
        <w:t>, F., Al-Adwan, A., &amp; Uddin, M. (2022). The effects of transformational leadership, organizational innovation, work stressors, and creativity on employee performance in SMEs. Frontiers in Psychology, 13. https://doi.org/10.3389/fpsyg.2022.772104</w:t>
      </w:r>
    </w:p>
    <w:p w14:paraId="4BD037DC" w14:textId="77777777" w:rsidR="00401774" w:rsidRDefault="00000000">
      <w:pPr>
        <w:ind w:left="720" w:hanging="720"/>
        <w:jc w:val="both"/>
      </w:pPr>
      <w:r>
        <w:rPr>
          <w:sz w:val="22"/>
          <w:szCs w:val="22"/>
        </w:rPr>
        <w:t xml:space="preserve">Rafique, M., Hou, Y., </w:t>
      </w:r>
      <w:proofErr w:type="spellStart"/>
      <w:r>
        <w:rPr>
          <w:sz w:val="22"/>
          <w:szCs w:val="22"/>
        </w:rPr>
        <w:t>Chudhery</w:t>
      </w:r>
      <w:proofErr w:type="spellEnd"/>
      <w:r>
        <w:rPr>
          <w:sz w:val="22"/>
          <w:szCs w:val="22"/>
        </w:rPr>
        <w:t>, M., Waheed, M., Zia, T., &amp; Chan, F. (2022). Investigating the impact of pandemic job stress and transformational leadership on innovative work behavior: The mediating and moderating role of knowledge sharing. Journal of Innovation &amp; Knowledge, 7, 100214. https://doi.org/10.1016/j.jik.2022.100214</w:t>
      </w:r>
    </w:p>
    <w:p w14:paraId="0DFBCA11" w14:textId="77777777" w:rsidR="00401774" w:rsidRDefault="00000000">
      <w:pPr>
        <w:ind w:left="720" w:hanging="720"/>
        <w:jc w:val="both"/>
      </w:pPr>
      <w:r>
        <w:rPr>
          <w:sz w:val="22"/>
          <w:szCs w:val="22"/>
        </w:rPr>
        <w:t xml:space="preserve">Saif, N., Guan, G., Goh, G., Rubin, A., Shaheen, I., &amp; Murtaza, M. (2024). Influence of transformational leadership on innovative work behavior and task performance of individuals: The mediating role of knowledge sharing. </w:t>
      </w:r>
      <w:proofErr w:type="spellStart"/>
      <w:r>
        <w:rPr>
          <w:sz w:val="22"/>
          <w:szCs w:val="22"/>
        </w:rPr>
        <w:t>Heliyon</w:t>
      </w:r>
      <w:proofErr w:type="spellEnd"/>
      <w:r>
        <w:rPr>
          <w:sz w:val="22"/>
          <w:szCs w:val="22"/>
        </w:rPr>
        <w:t>, 10. https://doi.org/10.1016/j.heliyon.2024.e32280</w:t>
      </w:r>
    </w:p>
    <w:p w14:paraId="0F83AB2C" w14:textId="77777777" w:rsidR="00401774" w:rsidRDefault="00000000">
      <w:pPr>
        <w:ind w:left="720" w:hanging="720"/>
        <w:jc w:val="both"/>
      </w:pPr>
      <w:r>
        <w:rPr>
          <w:sz w:val="22"/>
          <w:szCs w:val="22"/>
        </w:rPr>
        <w:t>Scott, S. G., &amp; Bruce, R. A. (1994). Determinants of innovative behavior: A path model of individual innovation in the workplace. Academy of Management Journal, 37(3), 580–607. https://doi.org/10.2307/256701</w:t>
      </w:r>
    </w:p>
    <w:p w14:paraId="494A64EA" w14:textId="77777777" w:rsidR="00401774" w:rsidRDefault="00000000">
      <w:pPr>
        <w:ind w:left="720" w:hanging="720"/>
        <w:jc w:val="both"/>
      </w:pPr>
      <w:r>
        <w:rPr>
          <w:sz w:val="22"/>
          <w:szCs w:val="22"/>
        </w:rPr>
        <w:t>Snyder, H. (2019). Literature review as a research methodology: An overview and guidelines. Journal of Business Research, 104, 333–339. https://doi.org/10.1016/j.jbusres.2019.07.039</w:t>
      </w:r>
    </w:p>
    <w:p w14:paraId="460E4C1C" w14:textId="77777777" w:rsidR="00401774" w:rsidRDefault="00000000">
      <w:pPr>
        <w:ind w:left="720" w:hanging="720"/>
        <w:jc w:val="both"/>
      </w:pPr>
      <w:r>
        <w:rPr>
          <w:sz w:val="22"/>
          <w:szCs w:val="22"/>
        </w:rPr>
        <w:t>Torraco, R. J. (2005). Writing integrative literature reviews: Guidelines and examples. Human Resource Development Review, 4(3), 356–367. https://doi.org/10.1177/1534484305278283</w:t>
      </w:r>
    </w:p>
    <w:p w14:paraId="2D8AA59D" w14:textId="77777777" w:rsidR="00401774" w:rsidRDefault="00000000">
      <w:pPr>
        <w:ind w:left="720" w:hanging="720"/>
        <w:jc w:val="both"/>
      </w:pPr>
      <w:r>
        <w:rPr>
          <w:sz w:val="22"/>
          <w:szCs w:val="22"/>
        </w:rPr>
        <w:t>Wang, W., Kang, S., &amp; Choi, S. (2022). Servant leadership and creativity: A study of the sequential mediating roles of psychological safety and employee well-being. Frontiers in Psychology, 12. https://doi.org/10.3389/fpsyg.2021.807070</w:t>
      </w:r>
    </w:p>
    <w:p w14:paraId="3B0050E7" w14:textId="77777777" w:rsidR="00401774" w:rsidRDefault="00000000">
      <w:pPr>
        <w:ind w:left="720" w:hanging="720"/>
        <w:jc w:val="both"/>
      </w:pPr>
      <w:r>
        <w:rPr>
          <w:sz w:val="22"/>
          <w:szCs w:val="22"/>
        </w:rPr>
        <w:t>Wang, Y., Chen, Y., &amp; Zhu, Y. (2021). Promoting innovative behavior in employees: The mechanism of leader psychological capital. Frontiers in Psychology, 11. https://doi.org/10.3389/fpsyg.2020.598090</w:t>
      </w:r>
    </w:p>
    <w:p w14:paraId="162C71BB" w14:textId="77777777" w:rsidR="00401774" w:rsidRDefault="00000000">
      <w:pPr>
        <w:ind w:left="567" w:hanging="567"/>
      </w:pPr>
      <w:r>
        <w:rPr>
          <w:sz w:val="22"/>
          <w:szCs w:val="22"/>
        </w:rPr>
        <w:lastRenderedPageBreak/>
        <w:t>Zhao, F., Hu, W., Ahmed, F., &amp; Huang, H. (2022). Impact of ambidextrous human resource practices on employee innovation performance: The roles of inclusive leadership and psychological safety. European Journal of Innovation Management. https://doi.org/10.1108/ejim-04-2021-0226</w:t>
      </w:r>
    </w:p>
    <w:sectPr w:rsidR="00401774" w:rsidSect="00C810F6">
      <w:headerReference w:type="even" r:id="rId7"/>
      <w:headerReference w:type="default" r:id="rId8"/>
      <w:footerReference w:type="even" r:id="rId9"/>
      <w:footerReference w:type="default" r:id="rId10"/>
      <w:headerReference w:type="first" r:id="rId11"/>
      <w:footerReference w:type="first" r:id="rId12"/>
      <w:pgSz w:w="11906" w:h="16838"/>
      <w:pgMar w:top="1701" w:right="1701" w:bottom="1701" w:left="1701" w:header="709" w:footer="701" w:gutter="0"/>
      <w:pgNumType w:start="4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E8E9E" w14:textId="77777777" w:rsidR="0061578E" w:rsidRDefault="0061578E">
      <w:r>
        <w:separator/>
      </w:r>
    </w:p>
  </w:endnote>
  <w:endnote w:type="continuationSeparator" w:id="0">
    <w:p w14:paraId="27A2FF8F" w14:textId="77777777" w:rsidR="0061578E" w:rsidRDefault="00615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0FCB8685-D055-426A-B982-B0CC4F6D871B}"/>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2" w:fontKey="{5865833B-19D3-493B-B924-4E58BA3680BC}"/>
  </w:font>
  <w:font w:name="Calibri">
    <w:panose1 w:val="020F0502020204030204"/>
    <w:charset w:val="00"/>
    <w:family w:val="swiss"/>
    <w:pitch w:val="variable"/>
    <w:sig w:usb0="E4002EFF" w:usb1="C200247B" w:usb2="00000009" w:usb3="00000000" w:csb0="000001FF" w:csb1="00000000"/>
    <w:embedRegular r:id="rId3" w:fontKey="{AA256AB2-AFEE-47C7-B355-4E9034ACB415}"/>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4" w:fontKey="{5D4E5A26-8B8D-4B77-B04D-A3AC9C3580D4}"/>
    <w:embedItalic r:id="rId5" w:fontKey="{F03973E0-1CEC-43BF-9DC9-9F21DA283B93}"/>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embedItalic r:id="rId6" w:fontKey="{AFE7956E-B374-4A6C-8CA6-CEF3E648B410}"/>
  </w:font>
  <w:font w:name="Cardo">
    <w:charset w:val="00"/>
    <w:family w:val="auto"/>
    <w:pitch w:val="default"/>
    <w:embedRegular r:id="rId7" w:fontKey="{06BDDF2E-6D8A-40F4-8BB9-FAAF2D01BEC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71FCA" w14:textId="38A2B611" w:rsidR="00401774" w:rsidRDefault="00000000">
    <w:pPr>
      <w:pBdr>
        <w:top w:val="nil"/>
        <w:left w:val="nil"/>
        <w:bottom w:val="nil"/>
        <w:right w:val="nil"/>
        <w:between w:val="nil"/>
      </w:pBdr>
      <w:tabs>
        <w:tab w:val="center" w:pos="4513"/>
        <w:tab w:val="right" w:pos="9026"/>
        <w:tab w:val="center" w:pos="3402"/>
      </w:tabs>
      <w:rPr>
        <w:color w:val="000000"/>
      </w:rPr>
    </w:pPr>
    <w:r>
      <w:rPr>
        <w:color w:val="000000"/>
      </w:rPr>
      <w:fldChar w:fldCharType="begin"/>
    </w:r>
    <w:r>
      <w:rPr>
        <w:color w:val="000000"/>
      </w:rPr>
      <w:instrText>PAGE</w:instrText>
    </w:r>
    <w:r>
      <w:rPr>
        <w:color w:val="000000"/>
      </w:rPr>
      <w:fldChar w:fldCharType="separate"/>
    </w:r>
    <w:r w:rsidR="00050AF1">
      <w:rPr>
        <w:noProof/>
        <w:color w:val="000000"/>
      </w:rPr>
      <w:t>2</w:t>
    </w:r>
    <w:r>
      <w:rPr>
        <w:color w:val="000000"/>
      </w:rPr>
      <w:fldChar w:fldCharType="end"/>
    </w:r>
    <w:r>
      <w:rPr>
        <w:color w:val="000000"/>
      </w:rPr>
      <w:t xml:space="preserve">                                                    </w:t>
    </w:r>
    <w:proofErr w:type="spellStart"/>
    <w:r w:rsidR="00C810F6">
      <w:rPr>
        <w:i/>
        <w:color w:val="000000"/>
      </w:rPr>
      <w:t>Psikhologiya</w:t>
    </w:r>
    <w:proofErr w:type="spellEnd"/>
    <w:r w:rsidR="00C810F6">
      <w:rPr>
        <w:i/>
        <w:color w:val="000000"/>
      </w:rPr>
      <w:t xml:space="preserve"> Journal</w:t>
    </w:r>
    <w:r w:rsidR="00C810F6">
      <w:rPr>
        <w:color w:val="000000"/>
      </w:rPr>
      <w:t>, Vol. 1 No.4, December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3CCC4" w14:textId="55DC114B" w:rsidR="00401774" w:rsidRDefault="00000000" w:rsidP="00C810F6">
    <w:pPr>
      <w:pBdr>
        <w:top w:val="nil"/>
        <w:left w:val="nil"/>
        <w:bottom w:val="nil"/>
        <w:right w:val="nil"/>
        <w:between w:val="nil"/>
      </w:pBdr>
      <w:tabs>
        <w:tab w:val="center" w:pos="4513"/>
        <w:tab w:val="right" w:pos="9026"/>
      </w:tabs>
      <w:ind w:right="-316"/>
      <w:rPr>
        <w:color w:val="000000"/>
      </w:rPr>
    </w:pPr>
    <w:r>
      <w:rPr>
        <w:color w:val="000000"/>
      </w:rPr>
      <w:t xml:space="preserve">                                                                                                                                                                                                                                                                                                                                                                                               </w:t>
    </w:r>
    <w:proofErr w:type="spellStart"/>
    <w:r w:rsidR="00C810F6">
      <w:rPr>
        <w:i/>
        <w:color w:val="000000"/>
      </w:rPr>
      <w:t>Psikhologiya</w:t>
    </w:r>
    <w:proofErr w:type="spellEnd"/>
    <w:r w:rsidR="00C810F6">
      <w:rPr>
        <w:i/>
        <w:color w:val="000000"/>
      </w:rPr>
      <w:t xml:space="preserve"> Journal</w:t>
    </w:r>
    <w:r w:rsidR="00C810F6">
      <w:rPr>
        <w:color w:val="000000"/>
      </w:rPr>
      <w:t>, Vol. 1 No.4, December 2024</w:t>
    </w:r>
    <w:r>
      <w:rPr>
        <w:color w:val="000000"/>
      </w:rPr>
      <w:t xml:space="preserve">                                                            </w:t>
    </w:r>
    <w:r>
      <w:rPr>
        <w:color w:val="000000"/>
      </w:rPr>
      <w:fldChar w:fldCharType="begin"/>
    </w:r>
    <w:r>
      <w:rPr>
        <w:color w:val="000000"/>
      </w:rPr>
      <w:instrText>PAGE</w:instrText>
    </w:r>
    <w:r>
      <w:rPr>
        <w:color w:val="000000"/>
      </w:rPr>
      <w:fldChar w:fldCharType="separate"/>
    </w:r>
    <w:r w:rsidR="00050AF1">
      <w:rPr>
        <w:noProof/>
        <w:color w:val="000000"/>
      </w:rPr>
      <w:t>3</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FA119" w14:textId="77777777" w:rsidR="00C810F6" w:rsidRDefault="00C810F6" w:rsidP="00C810F6">
    <w:pPr>
      <w:pBdr>
        <w:top w:val="nil"/>
        <w:left w:val="nil"/>
        <w:bottom w:val="nil"/>
        <w:right w:val="nil"/>
        <w:between w:val="nil"/>
      </w:pBdr>
      <w:tabs>
        <w:tab w:val="center" w:pos="4513"/>
        <w:tab w:val="right" w:pos="9026"/>
      </w:tabs>
      <w:rPr>
        <w:color w:val="000000"/>
      </w:rPr>
    </w:pPr>
  </w:p>
  <w:p w14:paraId="71842162" w14:textId="77777777" w:rsidR="00C810F6" w:rsidRPr="00787B23" w:rsidRDefault="00C810F6" w:rsidP="00C810F6">
    <w:pPr>
      <w:pBdr>
        <w:top w:val="nil"/>
        <w:left w:val="nil"/>
        <w:bottom w:val="nil"/>
        <w:right w:val="nil"/>
        <w:between w:val="nil"/>
      </w:pBdr>
      <w:tabs>
        <w:tab w:val="center" w:pos="4680"/>
        <w:tab w:val="right" w:pos="9360"/>
      </w:tabs>
      <w:ind w:right="480"/>
      <w:rPr>
        <w:color w:val="000000"/>
        <w:sz w:val="20"/>
        <w:szCs w:val="20"/>
        <w:lang w:eastAsia="en-GB"/>
      </w:rPr>
    </w:pPr>
    <w:r w:rsidRPr="00787B23">
      <w:rPr>
        <w:noProof/>
        <w:color w:val="000000"/>
        <w:sz w:val="20"/>
        <w:szCs w:val="20"/>
        <w:lang w:eastAsia="en-GB"/>
      </w:rPr>
      <w:drawing>
        <wp:anchor distT="0" distB="0" distL="114300" distR="114300" simplePos="0" relativeHeight="251661312" behindDoc="0" locked="0" layoutInCell="1" allowOverlap="1" wp14:anchorId="59E24884" wp14:editId="5904D82D">
          <wp:simplePos x="0" y="0"/>
          <wp:positionH relativeFrom="column">
            <wp:posOffset>104775</wp:posOffset>
          </wp:positionH>
          <wp:positionV relativeFrom="paragraph">
            <wp:posOffset>-319405</wp:posOffset>
          </wp:positionV>
          <wp:extent cx="838200" cy="295275"/>
          <wp:effectExtent l="0" t="0" r="0" b="9525"/>
          <wp:wrapSquare wrapText="bothSides"/>
          <wp:docPr id="11017241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anchor>
      </w:drawing>
    </w:r>
    <w:r w:rsidRPr="00787B23">
      <w:rPr>
        <w:color w:val="000000"/>
        <w:sz w:val="20"/>
        <w:szCs w:val="20"/>
        <w:lang w:eastAsia="en-GB"/>
      </w:rPr>
      <w:t>Creative Commons Attribution-</w:t>
    </w:r>
    <w:proofErr w:type="spellStart"/>
    <w:r w:rsidRPr="00787B23">
      <w:rPr>
        <w:color w:val="000000"/>
        <w:sz w:val="20"/>
        <w:szCs w:val="20"/>
        <w:lang w:eastAsia="en-GB"/>
      </w:rPr>
      <w:t>ShareAlike</w:t>
    </w:r>
    <w:proofErr w:type="spellEnd"/>
    <w:r w:rsidRPr="00787B23">
      <w:rPr>
        <w:color w:val="000000"/>
        <w:sz w:val="20"/>
        <w:szCs w:val="20"/>
        <w:lang w:eastAsia="en-GB"/>
      </w:rPr>
      <w:t xml:space="preserve"> 4.0 International License:</w:t>
    </w:r>
  </w:p>
  <w:p w14:paraId="75019C9E" w14:textId="77777777" w:rsidR="00C810F6" w:rsidRDefault="00C810F6" w:rsidP="00C810F6">
    <w:r w:rsidRPr="00787B23">
      <w:rPr>
        <w:color w:val="000000"/>
        <w:sz w:val="20"/>
        <w:szCs w:val="20"/>
        <w:lang w:eastAsia="en-GB"/>
      </w:rPr>
      <w:t> </w:t>
    </w:r>
    <w:hyperlink r:id="rId2" w:history="1">
      <w:r w:rsidRPr="00787B23">
        <w:rPr>
          <w:color w:val="0000FF"/>
          <w:sz w:val="20"/>
          <w:szCs w:val="20"/>
          <w:u w:val="single"/>
          <w:lang w:eastAsia="en-GB"/>
        </w:rPr>
        <w:t>https://creativecommons.org/licenses/by-sa/4.0/</w:t>
      </w:r>
    </w:hyperlink>
  </w:p>
  <w:p w14:paraId="23AA987F" w14:textId="77777777" w:rsidR="00401774"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050AF1">
      <w:rPr>
        <w:noProof/>
        <w:color w:val="000000"/>
      </w:rPr>
      <w:t>1</w:t>
    </w:r>
    <w:r>
      <w:rPr>
        <w:color w:val="000000"/>
      </w:rPr>
      <w:fldChar w:fldCharType="end"/>
    </w:r>
  </w:p>
  <w:p w14:paraId="62A913D4" w14:textId="77777777" w:rsidR="00401774" w:rsidRDefault="00401774">
    <w:pPr>
      <w:pBdr>
        <w:top w:val="nil"/>
        <w:left w:val="nil"/>
        <w:bottom w:val="nil"/>
        <w:right w:val="nil"/>
        <w:between w:val="nil"/>
      </w:pBdr>
      <w:tabs>
        <w:tab w:val="center" w:pos="4513"/>
        <w:tab w:val="right" w:pos="9026"/>
      </w:tabs>
      <w:jc w:val="right"/>
      <w:rPr>
        <w:color w:val="000000"/>
      </w:rPr>
    </w:pPr>
  </w:p>
  <w:p w14:paraId="0B6AA81A" w14:textId="77777777" w:rsidR="00401774" w:rsidRDefault="0040177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95CDA" w14:textId="77777777" w:rsidR="0061578E" w:rsidRDefault="0061578E">
      <w:r>
        <w:separator/>
      </w:r>
    </w:p>
  </w:footnote>
  <w:footnote w:type="continuationSeparator" w:id="0">
    <w:p w14:paraId="7A57E89F" w14:textId="77777777" w:rsidR="0061578E" w:rsidRDefault="006157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837CF" w14:textId="245C2424" w:rsidR="00401774" w:rsidRDefault="00000000">
    <w:pPr>
      <w:spacing w:before="19"/>
      <w:rPr>
        <w:rFonts w:ascii="Calibri" w:eastAsia="Calibri" w:hAnsi="Calibri" w:cs="Calibri"/>
      </w:rPr>
    </w:pPr>
    <w:r>
      <w:rPr>
        <w:b/>
        <w:bCs/>
      </w:rPr>
      <w:t xml:space="preserve"> </w:t>
    </w:r>
  </w:p>
  <w:p w14:paraId="4A91AC7B" w14:textId="77777777" w:rsidR="00401774" w:rsidRDefault="00401774">
    <w:pPr>
      <w:ind w:left="720" w:hanging="720"/>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CAEAC" w14:textId="77777777" w:rsidR="00401774" w:rsidRDefault="00401774">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14D10" w14:textId="77777777" w:rsidR="00C810F6" w:rsidRDefault="00C810F6" w:rsidP="00C810F6">
    <w:pPr>
      <w:widowControl w:val="0"/>
      <w:pBdr>
        <w:top w:val="nil"/>
        <w:left w:val="nil"/>
        <w:bottom w:val="nil"/>
        <w:right w:val="nil"/>
        <w:between w:val="nil"/>
      </w:pBdr>
      <w:spacing w:line="276" w:lineRule="auto"/>
    </w:pPr>
  </w:p>
  <w:tbl>
    <w:tblPr>
      <w:tblW w:w="9038" w:type="dxa"/>
      <w:tblInd w:w="-433" w:type="dxa"/>
      <w:tblBorders>
        <w:bottom w:val="single" w:sz="4" w:space="0" w:color="000000"/>
      </w:tblBorders>
      <w:tblLayout w:type="fixed"/>
      <w:tblLook w:val="0400" w:firstRow="0" w:lastRow="0" w:firstColumn="0" w:lastColumn="0" w:noHBand="0" w:noVBand="1"/>
    </w:tblPr>
    <w:tblGrid>
      <w:gridCol w:w="5536"/>
      <w:gridCol w:w="3502"/>
    </w:tblGrid>
    <w:tr w:rsidR="00C810F6" w14:paraId="7D1E3AFE" w14:textId="77777777" w:rsidTr="00741FD1">
      <w:tc>
        <w:tcPr>
          <w:tcW w:w="5536" w:type="dxa"/>
          <w:tcBorders>
            <w:top w:val="nil"/>
            <w:left w:val="nil"/>
            <w:bottom w:val="nil"/>
            <w:right w:val="nil"/>
          </w:tcBorders>
          <w:vAlign w:val="bottom"/>
        </w:tcPr>
        <w:p w14:paraId="1F5635F5" w14:textId="77777777" w:rsidR="00C810F6" w:rsidRDefault="00C810F6" w:rsidP="00C810F6">
          <w:pPr>
            <w:spacing w:before="240"/>
            <w:ind w:hanging="90"/>
            <w:rPr>
              <w:i/>
            </w:rPr>
          </w:pPr>
          <w:hyperlink r:id="rId1">
            <w:r>
              <w:rPr>
                <w:i/>
                <w:color w:val="0000FF"/>
                <w:u w:val="single"/>
              </w:rPr>
              <w:t>https://nawalaeducation.com/index.php/SJ/submissions</w:t>
            </w:r>
          </w:hyperlink>
          <w:r>
            <w:rPr>
              <w:noProof/>
            </w:rPr>
            <w:drawing>
              <wp:anchor distT="0" distB="0" distL="114300" distR="114300" simplePos="0" relativeHeight="251659264" behindDoc="0" locked="0" layoutInCell="1" hidden="0" allowOverlap="1" wp14:anchorId="727DB0A2" wp14:editId="5AEE3EB2">
                <wp:simplePos x="0" y="0"/>
                <wp:positionH relativeFrom="column">
                  <wp:posOffset>327659</wp:posOffset>
                </wp:positionH>
                <wp:positionV relativeFrom="paragraph">
                  <wp:posOffset>-382904</wp:posOffset>
                </wp:positionV>
                <wp:extent cx="2543175" cy="485775"/>
                <wp:effectExtent l="0" t="0" r="0" b="0"/>
                <wp:wrapNone/>
                <wp:docPr id="61156644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280" t="33758" r="3745" b="42038"/>
                        <a:stretch>
                          <a:fillRect/>
                        </a:stretch>
                      </pic:blipFill>
                      <pic:spPr>
                        <a:xfrm>
                          <a:off x="0" y="0"/>
                          <a:ext cx="2543175" cy="485775"/>
                        </a:xfrm>
                        <a:prstGeom prst="rect">
                          <a:avLst/>
                        </a:prstGeom>
                        <a:ln/>
                      </pic:spPr>
                    </pic:pic>
                  </a:graphicData>
                </a:graphic>
              </wp:anchor>
            </w:drawing>
          </w:r>
        </w:p>
      </w:tc>
      <w:tc>
        <w:tcPr>
          <w:tcW w:w="3502" w:type="dxa"/>
          <w:tcBorders>
            <w:top w:val="nil"/>
            <w:left w:val="nil"/>
            <w:bottom w:val="nil"/>
            <w:right w:val="nil"/>
          </w:tcBorders>
          <w:vAlign w:val="bottom"/>
        </w:tcPr>
        <w:p w14:paraId="4960B4FF" w14:textId="77777777" w:rsidR="00C810F6" w:rsidRDefault="00C810F6" w:rsidP="00C810F6">
          <w:pPr>
            <w:pBdr>
              <w:top w:val="nil"/>
              <w:left w:val="nil"/>
              <w:bottom w:val="nil"/>
              <w:right w:val="nil"/>
              <w:between w:val="nil"/>
            </w:pBdr>
            <w:tabs>
              <w:tab w:val="center" w:pos="4513"/>
              <w:tab w:val="right" w:pos="9026"/>
            </w:tabs>
            <w:ind w:left="-6"/>
            <w:rPr>
              <w:color w:val="000000"/>
            </w:rPr>
          </w:pPr>
          <w:proofErr w:type="spellStart"/>
          <w:r>
            <w:rPr>
              <w:color w:val="000000"/>
            </w:rPr>
            <w:t>Psikhologiya</w:t>
          </w:r>
          <w:proofErr w:type="spellEnd"/>
          <w:r>
            <w:rPr>
              <w:color w:val="000000"/>
            </w:rPr>
            <w:t xml:space="preserve">; </w:t>
          </w:r>
          <w:proofErr w:type="spellStart"/>
          <w:r>
            <w:rPr>
              <w:color w:val="000000"/>
            </w:rPr>
            <w:t>Jurnal</w:t>
          </w:r>
          <w:proofErr w:type="spellEnd"/>
          <w:r>
            <w:rPr>
              <w:color w:val="000000"/>
            </w:rPr>
            <w:t xml:space="preserve"> </w:t>
          </w:r>
          <w:proofErr w:type="spellStart"/>
          <w:r>
            <w:rPr>
              <w:color w:val="000000"/>
            </w:rPr>
            <w:t>Psikologi</w:t>
          </w:r>
          <w:proofErr w:type="spellEnd"/>
        </w:p>
        <w:p w14:paraId="1E0C6EEF" w14:textId="77777777" w:rsidR="00C810F6" w:rsidRDefault="00C810F6" w:rsidP="00C810F6">
          <w:pPr>
            <w:pBdr>
              <w:top w:val="nil"/>
              <w:left w:val="nil"/>
              <w:bottom w:val="nil"/>
              <w:right w:val="nil"/>
              <w:between w:val="nil"/>
            </w:pBdr>
            <w:tabs>
              <w:tab w:val="center" w:pos="4513"/>
              <w:tab w:val="right" w:pos="9026"/>
            </w:tabs>
            <w:ind w:left="-6"/>
            <w:rPr>
              <w:color w:val="000000"/>
            </w:rPr>
          </w:pPr>
          <w:r>
            <w:rPr>
              <w:color w:val="000000"/>
            </w:rPr>
            <w:t>e-</w:t>
          </w:r>
          <w:proofErr w:type="gramStart"/>
          <w:r>
            <w:rPr>
              <w:color w:val="000000"/>
            </w:rPr>
            <w:t>ISSN :</w:t>
          </w:r>
          <w:proofErr w:type="gramEnd"/>
          <w:r>
            <w:rPr>
              <w:color w:val="000000"/>
            </w:rPr>
            <w:t xml:space="preserve"> 3046-7721                  </w:t>
          </w:r>
        </w:p>
        <w:p w14:paraId="5E088790" w14:textId="77777777" w:rsidR="00C810F6" w:rsidRDefault="00C810F6" w:rsidP="00C810F6">
          <w:pPr>
            <w:pBdr>
              <w:top w:val="nil"/>
              <w:left w:val="nil"/>
              <w:bottom w:val="nil"/>
              <w:right w:val="nil"/>
              <w:between w:val="nil"/>
            </w:pBdr>
            <w:tabs>
              <w:tab w:val="center" w:pos="4513"/>
              <w:tab w:val="right" w:pos="9026"/>
            </w:tabs>
            <w:ind w:left="-6"/>
            <w:rPr>
              <w:color w:val="000000"/>
            </w:rPr>
          </w:pPr>
          <w:r>
            <w:rPr>
              <w:color w:val="000000"/>
            </w:rPr>
            <w:t xml:space="preserve">Volume 1 </w:t>
          </w:r>
          <w:proofErr w:type="spellStart"/>
          <w:r>
            <w:rPr>
              <w:color w:val="000000"/>
            </w:rPr>
            <w:t>Nomor</w:t>
          </w:r>
          <w:proofErr w:type="spellEnd"/>
          <w:r>
            <w:rPr>
              <w:color w:val="000000"/>
            </w:rPr>
            <w:t xml:space="preserve"> 4, December 2024</w:t>
          </w:r>
        </w:p>
        <w:p w14:paraId="084576C2" w14:textId="77777777" w:rsidR="00C810F6" w:rsidRDefault="00C810F6" w:rsidP="00C810F6">
          <w:pPr>
            <w:pBdr>
              <w:top w:val="nil"/>
              <w:left w:val="nil"/>
              <w:bottom w:val="nil"/>
              <w:right w:val="nil"/>
              <w:between w:val="nil"/>
            </w:pBdr>
            <w:tabs>
              <w:tab w:val="center" w:pos="4513"/>
              <w:tab w:val="right" w:pos="9026"/>
            </w:tabs>
            <w:ind w:left="-6"/>
            <w:rPr>
              <w:color w:val="000000"/>
            </w:rPr>
          </w:pPr>
          <w:bookmarkStart w:id="0" w:name="_heading=h.gjdgxs" w:colFirst="0" w:colLast="0"/>
          <w:bookmarkEnd w:id="0"/>
          <w:proofErr w:type="gramStart"/>
          <w:r>
            <w:rPr>
              <w:color w:val="000000"/>
            </w:rPr>
            <w:t>DOI  :</w:t>
          </w:r>
          <w:proofErr w:type="gramEnd"/>
        </w:p>
        <w:p w14:paraId="6BE9A2FA" w14:textId="77777777" w:rsidR="00C810F6" w:rsidRDefault="00C810F6" w:rsidP="00C810F6">
          <w:pPr>
            <w:pBdr>
              <w:top w:val="nil"/>
              <w:left w:val="nil"/>
              <w:bottom w:val="nil"/>
              <w:right w:val="nil"/>
              <w:between w:val="nil"/>
            </w:pBdr>
            <w:tabs>
              <w:tab w:val="center" w:pos="4513"/>
              <w:tab w:val="right" w:pos="9026"/>
            </w:tabs>
            <w:ind w:left="-6"/>
            <w:rPr>
              <w:color w:val="000000"/>
            </w:rPr>
          </w:pPr>
          <w:r w:rsidRPr="00496090">
            <w:rPr>
              <w:b/>
              <w:bCs/>
              <w:color w:val="000000"/>
            </w:rPr>
            <w:t> </w:t>
          </w:r>
          <w:hyperlink r:id="rId3" w:history="1">
            <w:r w:rsidRPr="008760D0">
              <w:rPr>
                <w:rStyle w:val="Hyperlink"/>
                <w:sz w:val="22"/>
                <w:szCs w:val="22"/>
              </w:rPr>
              <w:t>https://doi.org/10.62872/pj.v1i4.520</w:t>
            </w:r>
          </w:hyperlink>
          <w:r>
            <w:t xml:space="preserve">  </w:t>
          </w:r>
        </w:p>
      </w:tc>
    </w:tr>
    <w:tr w:rsidR="00C810F6" w14:paraId="2BA8AEDE" w14:textId="77777777" w:rsidTr="00741FD1">
      <w:tc>
        <w:tcPr>
          <w:tcW w:w="5536" w:type="dxa"/>
          <w:tcBorders>
            <w:top w:val="nil"/>
            <w:left w:val="nil"/>
            <w:bottom w:val="single" w:sz="4" w:space="0" w:color="000000"/>
            <w:right w:val="nil"/>
          </w:tcBorders>
        </w:tcPr>
        <w:p w14:paraId="0BCA0AF4" w14:textId="77777777" w:rsidR="00C810F6" w:rsidRDefault="00C810F6" w:rsidP="00C810F6">
          <w:pPr>
            <w:spacing w:before="240"/>
            <w:jc w:val="both"/>
          </w:pPr>
        </w:p>
      </w:tc>
      <w:tc>
        <w:tcPr>
          <w:tcW w:w="3502" w:type="dxa"/>
          <w:tcBorders>
            <w:top w:val="nil"/>
            <w:left w:val="nil"/>
            <w:bottom w:val="single" w:sz="4" w:space="0" w:color="000000"/>
            <w:right w:val="nil"/>
          </w:tcBorders>
        </w:tcPr>
        <w:p w14:paraId="6112DCAC" w14:textId="77777777" w:rsidR="00C810F6" w:rsidRDefault="00C810F6" w:rsidP="00C810F6">
          <w:pPr>
            <w:pBdr>
              <w:top w:val="nil"/>
              <w:left w:val="nil"/>
              <w:bottom w:val="nil"/>
              <w:right w:val="nil"/>
              <w:between w:val="nil"/>
            </w:pBdr>
            <w:tabs>
              <w:tab w:val="center" w:pos="4513"/>
              <w:tab w:val="right" w:pos="9026"/>
            </w:tabs>
            <w:rPr>
              <w:color w:val="000000"/>
            </w:rPr>
          </w:pPr>
        </w:p>
      </w:tc>
    </w:tr>
  </w:tbl>
  <w:p w14:paraId="586B68DE" w14:textId="77777777" w:rsidR="00401774" w:rsidRPr="00C810F6" w:rsidRDefault="00401774" w:rsidP="00C810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774"/>
    <w:rsid w:val="00050AF1"/>
    <w:rsid w:val="000B72F6"/>
    <w:rsid w:val="001A2434"/>
    <w:rsid w:val="002642CB"/>
    <w:rsid w:val="004006C7"/>
    <w:rsid w:val="00401774"/>
    <w:rsid w:val="0061578E"/>
    <w:rsid w:val="00C81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47B1D"/>
  <w15:docId w15:val="{84B83FE2-8116-4CAB-A333-011D1AEE2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jc w:val="both"/>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link w:val="Heading5Char"/>
    <w:uiPriority w:val="9"/>
    <w:semiHidden/>
    <w:unhideWhenUsed/>
    <w:qFormat/>
    <w:pPr>
      <w:keepNext/>
      <w:keepLines/>
      <w:spacing w:before="200"/>
      <w:outlineLvl w:val="4"/>
    </w:pPr>
    <w:rPr>
      <w:rFonts w:ascii="Cambria" w:eastAsia="Cambria" w:hAnsi="Cambria" w:cs="Cambria"/>
      <w:color w:val="243F61"/>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Pr>
      <w:rFonts w:ascii="Cambria" w:eastAsia="Cambria" w:hAnsi="Cambria" w:cs="Cambria"/>
      <w:sz w:val="56"/>
      <w:szCs w:val="56"/>
    </w:rPr>
  </w:style>
  <w:style w:type="character" w:customStyle="1" w:styleId="Heading1Char">
    <w:name w:val="Heading 1 Char"/>
    <w:basedOn w:val="DefaultParagraphFont"/>
    <w:link w:val="Heading1"/>
    <w:rsid w:val="00111DBA"/>
    <w:rPr>
      <w:rFonts w:ascii="Times New Roman" w:eastAsia="Times New Roman" w:hAnsi="Times New Roman" w:cs="Times New Roman"/>
      <w:b/>
      <w:sz w:val="24"/>
      <w:szCs w:val="20"/>
      <w:lang w:val="en-US"/>
    </w:rPr>
  </w:style>
  <w:style w:type="character" w:styleId="Hyperlink">
    <w:name w:val="Hyperlink"/>
    <w:uiPriority w:val="99"/>
    <w:unhideWhenUsed/>
    <w:rsid w:val="00111DBA"/>
    <w:rPr>
      <w:color w:val="0000FF"/>
      <w:u w:val="single"/>
    </w:rPr>
  </w:style>
  <w:style w:type="paragraph" w:styleId="CommentText">
    <w:name w:val="annotation text"/>
    <w:basedOn w:val="Normal"/>
    <w:link w:val="CommentTextChar"/>
    <w:uiPriority w:val="99"/>
    <w:semiHidden/>
    <w:unhideWhenUsed/>
    <w:rsid w:val="00111DBA"/>
    <w:rPr>
      <w:sz w:val="20"/>
      <w:szCs w:val="20"/>
      <w:lang w:val="id-ID" w:eastAsia="id-ID"/>
    </w:rPr>
  </w:style>
  <w:style w:type="character" w:customStyle="1" w:styleId="CommentTextChar">
    <w:name w:val="Comment Text Char"/>
    <w:basedOn w:val="DefaultParagraphFont"/>
    <w:link w:val="CommentText"/>
    <w:uiPriority w:val="99"/>
    <w:semiHidden/>
    <w:rsid w:val="00111DBA"/>
    <w:rPr>
      <w:rFonts w:ascii="Times New Roman" w:eastAsia="Times New Roman" w:hAnsi="Times New Roman" w:cs="Times New Roman"/>
      <w:sz w:val="20"/>
      <w:szCs w:val="20"/>
      <w:lang w:eastAsia="id-ID"/>
    </w:rPr>
  </w:style>
  <w:style w:type="character" w:customStyle="1" w:styleId="ListParagraphChar">
    <w:name w:val="List Paragraph Char"/>
    <w:aliases w:val="ANNEX Char,kepala Char,ListKebijakan Char,Body Text Char1 Char,Char Char2 Char,Numbering Char,Colorful List - Accent 11 Char,Heading 1 Char1 Char,Body of text Char,List Paragraph1 Char,awal Char,List Paragraph2 Char,UGEX'Z Char"/>
    <w:link w:val="ListParagraph"/>
    <w:uiPriority w:val="34"/>
    <w:qFormat/>
    <w:locked/>
    <w:rsid w:val="00111DBA"/>
    <w:rPr>
      <w:rFonts w:ascii="MS Mincho" w:eastAsia="MS Mincho" w:hAnsi="MS Mincho"/>
      <w:sz w:val="24"/>
      <w:szCs w:val="24"/>
      <w:lang w:val="en-US" w:eastAsia="ar-SA"/>
    </w:rPr>
  </w:style>
  <w:style w:type="paragraph" w:styleId="ListParagraph">
    <w:name w:val="List Paragraph"/>
    <w:aliases w:val="ANNEX,kepala,ListKebijakan,Body Text Char1,Char Char2,Numbering,Colorful List - Accent 11,Heading 1 Char1,Body of text,List Paragraph1,awal,List Paragraph2,UGEX'Z,skripsi,spasi 2 taiiii"/>
    <w:basedOn w:val="Normal"/>
    <w:link w:val="ListParagraphChar"/>
    <w:uiPriority w:val="1"/>
    <w:qFormat/>
    <w:rsid w:val="00111DBA"/>
    <w:pPr>
      <w:ind w:left="720"/>
    </w:pPr>
    <w:rPr>
      <w:rFonts w:ascii="MS Mincho" w:hAnsi="MS Mincho" w:cstheme="minorBidi"/>
    </w:rPr>
  </w:style>
  <w:style w:type="paragraph" w:styleId="Bibliography">
    <w:name w:val="Bibliography"/>
    <w:basedOn w:val="Normal"/>
    <w:next w:val="Normal"/>
    <w:uiPriority w:val="37"/>
    <w:semiHidden/>
    <w:unhideWhenUsed/>
    <w:rsid w:val="00111DBA"/>
  </w:style>
  <w:style w:type="character" w:styleId="CommentReference">
    <w:name w:val="annotation reference"/>
    <w:uiPriority w:val="99"/>
    <w:semiHidden/>
    <w:unhideWhenUsed/>
    <w:rsid w:val="00111DBA"/>
    <w:rPr>
      <w:sz w:val="16"/>
      <w:szCs w:val="16"/>
    </w:rPr>
  </w:style>
  <w:style w:type="paragraph" w:styleId="BalloonText">
    <w:name w:val="Balloon Text"/>
    <w:basedOn w:val="Normal"/>
    <w:link w:val="BalloonTextChar"/>
    <w:uiPriority w:val="99"/>
    <w:semiHidden/>
    <w:unhideWhenUsed/>
    <w:rsid w:val="00111DBA"/>
    <w:rPr>
      <w:rFonts w:ascii="Tahoma" w:hAnsi="Tahoma" w:cs="Tahoma"/>
      <w:sz w:val="16"/>
      <w:szCs w:val="16"/>
    </w:rPr>
  </w:style>
  <w:style w:type="character" w:customStyle="1" w:styleId="BalloonTextChar">
    <w:name w:val="Balloon Text Char"/>
    <w:basedOn w:val="DefaultParagraphFont"/>
    <w:link w:val="BalloonText"/>
    <w:uiPriority w:val="99"/>
    <w:semiHidden/>
    <w:rsid w:val="00111DBA"/>
    <w:rPr>
      <w:rFonts w:ascii="Tahoma" w:eastAsia="MS Mincho" w:hAnsi="Tahoma" w:cs="Tahoma"/>
      <w:sz w:val="16"/>
      <w:szCs w:val="16"/>
      <w:lang w:val="en-US" w:eastAsia="ar-SA"/>
    </w:rPr>
  </w:style>
  <w:style w:type="paragraph" w:styleId="Header">
    <w:name w:val="header"/>
    <w:basedOn w:val="Normal"/>
    <w:link w:val="HeaderChar"/>
    <w:uiPriority w:val="99"/>
    <w:unhideWhenUsed/>
    <w:rsid w:val="000E0D1C"/>
    <w:pPr>
      <w:tabs>
        <w:tab w:val="center" w:pos="4513"/>
        <w:tab w:val="right" w:pos="9026"/>
      </w:tabs>
    </w:pPr>
  </w:style>
  <w:style w:type="character" w:customStyle="1" w:styleId="HeaderChar">
    <w:name w:val="Header Char"/>
    <w:basedOn w:val="DefaultParagraphFont"/>
    <w:link w:val="Header"/>
    <w:uiPriority w:val="99"/>
    <w:rsid w:val="000E0D1C"/>
    <w:rPr>
      <w:rFonts w:ascii="Times New Roman" w:eastAsia="MS Mincho" w:hAnsi="Times New Roman" w:cs="Times New Roman"/>
      <w:sz w:val="24"/>
      <w:szCs w:val="24"/>
      <w:lang w:val="en-US" w:eastAsia="ar-SA"/>
    </w:rPr>
  </w:style>
  <w:style w:type="paragraph" w:styleId="Footer">
    <w:name w:val="footer"/>
    <w:basedOn w:val="Normal"/>
    <w:link w:val="FooterChar"/>
    <w:uiPriority w:val="99"/>
    <w:unhideWhenUsed/>
    <w:rsid w:val="000E0D1C"/>
    <w:pPr>
      <w:tabs>
        <w:tab w:val="center" w:pos="4513"/>
        <w:tab w:val="right" w:pos="9026"/>
      </w:tabs>
    </w:pPr>
  </w:style>
  <w:style w:type="character" w:customStyle="1" w:styleId="FooterChar">
    <w:name w:val="Footer Char"/>
    <w:basedOn w:val="DefaultParagraphFont"/>
    <w:link w:val="Footer"/>
    <w:uiPriority w:val="99"/>
    <w:rsid w:val="000E0D1C"/>
    <w:rPr>
      <w:rFonts w:ascii="Times New Roman" w:eastAsia="MS Mincho" w:hAnsi="Times New Roman" w:cs="Times New Roman"/>
      <w:sz w:val="24"/>
      <w:szCs w:val="24"/>
      <w:lang w:val="en-US" w:eastAsia="ar-SA"/>
    </w:rPr>
  </w:style>
  <w:style w:type="character" w:customStyle="1" w:styleId="Heading5Char">
    <w:name w:val="Heading 5 Char"/>
    <w:basedOn w:val="DefaultParagraphFont"/>
    <w:link w:val="Heading5"/>
    <w:uiPriority w:val="9"/>
    <w:semiHidden/>
    <w:rsid w:val="00A82EE9"/>
    <w:rPr>
      <w:rFonts w:asciiTheme="majorHAnsi" w:eastAsiaTheme="majorEastAsia" w:hAnsiTheme="majorHAnsi" w:cstheme="majorBidi"/>
      <w:color w:val="243F60" w:themeColor="accent1" w:themeShade="7F"/>
      <w:sz w:val="24"/>
      <w:szCs w:val="24"/>
      <w:lang w:val="en-US" w:eastAsia="ar-SA"/>
    </w:rPr>
  </w:style>
  <w:style w:type="paragraph" w:styleId="FootnoteText">
    <w:name w:val="footnote text"/>
    <w:basedOn w:val="Normal"/>
    <w:link w:val="FootnoteTextChar"/>
    <w:uiPriority w:val="99"/>
    <w:semiHidden/>
    <w:unhideWhenUsed/>
    <w:rsid w:val="0038776A"/>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38776A"/>
    <w:rPr>
      <w:sz w:val="20"/>
      <w:szCs w:val="20"/>
      <w:lang w:val="en-US"/>
    </w:rPr>
  </w:style>
  <w:style w:type="character" w:customStyle="1" w:styleId="fontstyle01">
    <w:name w:val="fontstyle01"/>
    <w:basedOn w:val="DefaultParagraphFont"/>
    <w:rsid w:val="0038776A"/>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38776A"/>
    <w:rPr>
      <w:rFonts w:ascii="Times New Roman" w:hAnsi="Times New Roman" w:cs="Times New Roman" w:hint="default"/>
      <w:b w:val="0"/>
      <w:bCs w:val="0"/>
      <w:i/>
      <w:iCs/>
      <w:color w:val="000000"/>
      <w:sz w:val="24"/>
      <w:szCs w:val="24"/>
    </w:rPr>
  </w:style>
  <w:style w:type="paragraph" w:styleId="CommentSubject">
    <w:name w:val="annotation subject"/>
    <w:basedOn w:val="CommentText"/>
    <w:next w:val="CommentText"/>
    <w:link w:val="CommentSubjectChar"/>
    <w:uiPriority w:val="99"/>
    <w:semiHidden/>
    <w:unhideWhenUsed/>
    <w:rsid w:val="008D2F73"/>
    <w:pPr>
      <w:suppressAutoHyphens/>
    </w:pPr>
    <w:rPr>
      <w:rFonts w:eastAsia="MS Mincho"/>
      <w:b/>
      <w:bCs/>
      <w:lang w:val="en-US" w:eastAsia="ar-SA"/>
    </w:rPr>
  </w:style>
  <w:style w:type="character" w:customStyle="1" w:styleId="CommentSubjectChar">
    <w:name w:val="Comment Subject Char"/>
    <w:basedOn w:val="CommentTextChar"/>
    <w:link w:val="CommentSubject"/>
    <w:uiPriority w:val="99"/>
    <w:semiHidden/>
    <w:rsid w:val="008D2F73"/>
    <w:rPr>
      <w:rFonts w:ascii="Times New Roman" w:eastAsia="MS Mincho" w:hAnsi="Times New Roman" w:cs="Times New Roman"/>
      <w:b/>
      <w:bCs/>
      <w:sz w:val="20"/>
      <w:szCs w:val="20"/>
      <w:lang w:val="en-US" w:eastAsia="ar-SA"/>
    </w:rPr>
  </w:style>
  <w:style w:type="character" w:styleId="Emphasis">
    <w:name w:val="Emphasis"/>
    <w:basedOn w:val="DefaultParagraphFont"/>
    <w:uiPriority w:val="20"/>
    <w:qFormat/>
    <w:rsid w:val="00707943"/>
    <w:rPr>
      <w:i/>
      <w:iCs/>
    </w:rPr>
  </w:style>
  <w:style w:type="paragraph" w:styleId="NormalWeb">
    <w:name w:val="Normal (Web)"/>
    <w:basedOn w:val="Normal"/>
    <w:uiPriority w:val="99"/>
    <w:unhideWhenUsed/>
    <w:rsid w:val="00707943"/>
    <w:pPr>
      <w:spacing w:before="100" w:beforeAutospacing="1" w:after="100" w:afterAutospacing="1"/>
    </w:pPr>
  </w:style>
  <w:style w:type="character" w:customStyle="1" w:styleId="ff4">
    <w:name w:val="ff4"/>
    <w:basedOn w:val="DefaultParagraphFont"/>
    <w:rsid w:val="00A95DD7"/>
  </w:style>
  <w:style w:type="paragraph" w:styleId="BodyText">
    <w:name w:val="Body Text"/>
    <w:basedOn w:val="Normal"/>
    <w:link w:val="BodyTextChar"/>
    <w:uiPriority w:val="1"/>
    <w:unhideWhenUsed/>
    <w:qFormat/>
    <w:rsid w:val="00EB31AE"/>
    <w:pPr>
      <w:widowControl w:val="0"/>
      <w:autoSpaceDE w:val="0"/>
      <w:autoSpaceDN w:val="0"/>
    </w:pPr>
  </w:style>
  <w:style w:type="character" w:customStyle="1" w:styleId="BodyTextChar">
    <w:name w:val="Body Text Char"/>
    <w:basedOn w:val="DefaultParagraphFont"/>
    <w:link w:val="BodyText"/>
    <w:uiPriority w:val="1"/>
    <w:rsid w:val="00EB31AE"/>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AA1895"/>
    <w:pPr>
      <w:widowControl w:val="0"/>
      <w:autoSpaceDE w:val="0"/>
      <w:autoSpaceDN w:val="0"/>
    </w:pPr>
    <w:rPr>
      <w:sz w:val="22"/>
      <w:szCs w:val="22"/>
    </w:rPr>
  </w:style>
  <w:style w:type="paragraph" w:customStyle="1" w:styleId="StyleTitle">
    <w:name w:val="Style Title"/>
    <w:basedOn w:val="Title"/>
    <w:rsid w:val="00973350"/>
    <w:pPr>
      <w:jc w:val="center"/>
    </w:pPr>
    <w:rPr>
      <w:rFonts w:ascii="Times New Roman" w:eastAsia="Times New Roman" w:hAnsi="Times New Roman" w:cs="Arial"/>
      <w:b/>
      <w:bCs/>
      <w:kern w:val="1"/>
      <w:sz w:val="24"/>
      <w:szCs w:val="32"/>
    </w:rPr>
  </w:style>
  <w:style w:type="character" w:customStyle="1" w:styleId="TitleChar">
    <w:name w:val="Title Char"/>
    <w:basedOn w:val="DefaultParagraphFont"/>
    <w:link w:val="Title"/>
    <w:uiPriority w:val="10"/>
    <w:rsid w:val="00973350"/>
    <w:rPr>
      <w:rFonts w:asciiTheme="majorHAnsi" w:eastAsiaTheme="majorEastAsia" w:hAnsiTheme="majorHAnsi" w:cstheme="majorBidi"/>
      <w:spacing w:val="-10"/>
      <w:kern w:val="28"/>
      <w:sz w:val="56"/>
      <w:szCs w:val="56"/>
      <w:lang w:val="en-US" w:eastAsia="ar-SA"/>
    </w:rPr>
  </w:style>
  <w:style w:type="paragraph" w:customStyle="1" w:styleId="AbstractTitle">
    <w:name w:val="Abstract Title"/>
    <w:basedOn w:val="Normal"/>
    <w:rsid w:val="00973350"/>
    <w:pPr>
      <w:jc w:val="center"/>
    </w:pPr>
    <w:rPr>
      <w:b/>
      <w:sz w:val="20"/>
      <w:szCs w:val="20"/>
    </w:rPr>
  </w:style>
  <w:style w:type="paragraph" w:customStyle="1" w:styleId="Body">
    <w:name w:val="Body"/>
    <w:basedOn w:val="BodyTextIndent"/>
    <w:rsid w:val="00973350"/>
    <w:pPr>
      <w:spacing w:after="0"/>
      <w:ind w:left="0" w:firstLine="567"/>
      <w:jc w:val="both"/>
    </w:pPr>
    <w:rPr>
      <w:sz w:val="20"/>
      <w:szCs w:val="20"/>
    </w:rPr>
  </w:style>
  <w:style w:type="paragraph" w:styleId="BodyTextIndent">
    <w:name w:val="Body Text Indent"/>
    <w:basedOn w:val="Normal"/>
    <w:link w:val="BodyTextIndentChar"/>
    <w:uiPriority w:val="99"/>
    <w:semiHidden/>
    <w:unhideWhenUsed/>
    <w:rsid w:val="00973350"/>
    <w:pPr>
      <w:spacing w:after="120"/>
      <w:ind w:left="283"/>
    </w:pPr>
  </w:style>
  <w:style w:type="character" w:customStyle="1" w:styleId="BodyTextIndentChar">
    <w:name w:val="Body Text Indent Char"/>
    <w:basedOn w:val="DefaultParagraphFont"/>
    <w:link w:val="BodyTextIndent"/>
    <w:uiPriority w:val="99"/>
    <w:semiHidden/>
    <w:rsid w:val="00973350"/>
    <w:rPr>
      <w:rFonts w:ascii="Times New Roman" w:eastAsia="MS Mincho" w:hAnsi="Times New Roman" w:cs="Times New Roman"/>
      <w:sz w:val="24"/>
      <w:szCs w:val="24"/>
      <w:lang w:val="en-US" w:eastAsia="ar-SA"/>
    </w:rPr>
  </w:style>
  <w:style w:type="character" w:styleId="FootnoteReference">
    <w:name w:val="footnote reference"/>
    <w:basedOn w:val="DefaultParagraphFont"/>
    <w:uiPriority w:val="99"/>
    <w:semiHidden/>
    <w:unhideWhenUsed/>
    <w:rsid w:val="00973350"/>
    <w:rPr>
      <w:vertAlign w:val="superscript"/>
    </w:rPr>
  </w:style>
  <w:style w:type="table" w:styleId="TableGrid">
    <w:name w:val="Table Grid"/>
    <w:basedOn w:val="TableNormal"/>
    <w:uiPriority w:val="59"/>
    <w:unhideWhenUsed/>
    <w:rsid w:val="00973350"/>
    <w:rPr>
      <w:rFonts w:ascii="Calibri" w:eastAsia="Calibri" w:hAnsi="Calibri" w:cs="Arial"/>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W33textspaceafter">
    <w:name w:val="JW_3.3_text_space_after"/>
    <w:basedOn w:val="Normal"/>
    <w:qFormat/>
    <w:rsid w:val="00973350"/>
    <w:pPr>
      <w:adjustRightInd w:val="0"/>
      <w:snapToGrid w:val="0"/>
      <w:spacing w:after="240" w:line="260" w:lineRule="atLeast"/>
      <w:ind w:firstLine="425"/>
      <w:jc w:val="both"/>
    </w:pPr>
    <w:rPr>
      <w:rFonts w:ascii="Palatino Linotype" w:hAnsi="Palatino Linotype"/>
      <w:color w:val="000000"/>
      <w:sz w:val="20"/>
      <w:szCs w:val="22"/>
      <w:lang w:eastAsia="de-DE" w:bidi="en-US"/>
    </w:rPr>
  </w:style>
  <w:style w:type="paragraph" w:customStyle="1" w:styleId="JW34textspacebefore">
    <w:name w:val="JW_3.4_text_space_before"/>
    <w:basedOn w:val="Normal"/>
    <w:qFormat/>
    <w:rsid w:val="00973350"/>
    <w:pPr>
      <w:adjustRightInd w:val="0"/>
      <w:snapToGrid w:val="0"/>
      <w:spacing w:before="240" w:line="260" w:lineRule="atLeast"/>
      <w:ind w:firstLine="425"/>
      <w:jc w:val="both"/>
    </w:pPr>
    <w:rPr>
      <w:rFonts w:ascii="Palatino Linotype" w:hAnsi="Palatino Linotype"/>
      <w:color w:val="000000"/>
      <w:sz w:val="20"/>
      <w:szCs w:val="22"/>
      <w:lang w:eastAsia="de-DE" w:bidi="en-US"/>
    </w:rPr>
  </w:style>
  <w:style w:type="paragraph" w:customStyle="1" w:styleId="JW39equation">
    <w:name w:val="JW_3.9_equation"/>
    <w:basedOn w:val="Normal"/>
    <w:qFormat/>
    <w:rsid w:val="00973350"/>
    <w:pPr>
      <w:adjustRightInd w:val="0"/>
      <w:snapToGrid w:val="0"/>
      <w:spacing w:before="120" w:after="120" w:line="260" w:lineRule="atLeast"/>
      <w:ind w:left="709"/>
      <w:jc w:val="center"/>
    </w:pPr>
    <w:rPr>
      <w:rFonts w:ascii="Palatino Linotype" w:hAnsi="Palatino Linotype"/>
      <w:color w:val="000000"/>
      <w:sz w:val="20"/>
      <w:szCs w:val="22"/>
      <w:lang w:eastAsia="de-DE" w:bidi="en-US"/>
    </w:rPr>
  </w:style>
  <w:style w:type="paragraph" w:customStyle="1" w:styleId="JW81Quote">
    <w:name w:val="JW_8.1_Quote"/>
    <w:basedOn w:val="Normal"/>
    <w:qFormat/>
    <w:rsid w:val="00973350"/>
    <w:pPr>
      <w:adjustRightInd w:val="0"/>
      <w:snapToGrid w:val="0"/>
      <w:spacing w:line="260" w:lineRule="atLeast"/>
      <w:ind w:left="426"/>
      <w:jc w:val="both"/>
    </w:pPr>
    <w:rPr>
      <w:rFonts w:ascii="Palatino Linotype" w:hAnsi="Palatino Linotype"/>
      <w:iCs/>
      <w:color w:val="000000"/>
      <w:sz w:val="20"/>
      <w:szCs w:val="22"/>
      <w:lang w:eastAsia="de-DE" w:bidi="en-US"/>
    </w:rPr>
  </w:style>
  <w:style w:type="paragraph" w:customStyle="1" w:styleId="JW22heading2">
    <w:name w:val="JW_2.2_heading2"/>
    <w:basedOn w:val="Normal"/>
    <w:qFormat/>
    <w:rsid w:val="00973350"/>
    <w:pPr>
      <w:kinsoku w:val="0"/>
      <w:overflowPunct w:val="0"/>
      <w:autoSpaceDE w:val="0"/>
      <w:autoSpaceDN w:val="0"/>
      <w:adjustRightInd w:val="0"/>
      <w:snapToGrid w:val="0"/>
      <w:spacing w:before="240" w:after="120" w:line="260" w:lineRule="atLeast"/>
      <w:outlineLvl w:val="1"/>
    </w:pPr>
    <w:rPr>
      <w:rFonts w:ascii="Palatino Linotype" w:hAnsi="Palatino Linotype"/>
      <w:i/>
      <w:noProof/>
      <w:color w:val="000000"/>
      <w:sz w:val="20"/>
      <w:szCs w:val="22"/>
      <w:lang w:eastAsia="de-DE" w:bidi="en-US"/>
    </w:rPr>
  </w:style>
  <w:style w:type="paragraph" w:customStyle="1" w:styleId="JW71References">
    <w:name w:val="JW_7.1_References"/>
    <w:basedOn w:val="Normal"/>
    <w:qFormat/>
    <w:rsid w:val="003C4E2A"/>
    <w:pPr>
      <w:widowControl w:val="0"/>
      <w:autoSpaceDE w:val="0"/>
      <w:autoSpaceDN w:val="0"/>
      <w:adjustRightInd w:val="0"/>
      <w:spacing w:line="240" w:lineRule="atLeast"/>
      <w:ind w:left="480" w:hanging="480"/>
      <w:jc w:val="both"/>
    </w:pPr>
    <w:rPr>
      <w:rFonts w:ascii="Palatino Linotype" w:eastAsiaTheme="minorHAnsi" w:hAnsi="Palatino Linotype"/>
      <w:noProof/>
      <w:sz w:val="18"/>
      <w:lang w:val="en-ID"/>
    </w:rPr>
  </w:style>
  <w:style w:type="character" w:styleId="Strong">
    <w:name w:val="Strong"/>
    <w:basedOn w:val="DefaultParagraphFont"/>
    <w:uiPriority w:val="22"/>
    <w:qFormat/>
    <w:rsid w:val="00564728"/>
    <w:rPr>
      <w:b/>
      <w:bCs/>
    </w:rPr>
  </w:style>
  <w:style w:type="character" w:customStyle="1" w:styleId="UnresolvedMention1">
    <w:name w:val="Unresolved Mention1"/>
    <w:basedOn w:val="DefaultParagraphFont"/>
    <w:uiPriority w:val="99"/>
    <w:semiHidden/>
    <w:unhideWhenUsed/>
    <w:rsid w:val="00564728"/>
    <w:rPr>
      <w:color w:val="605E5C"/>
      <w:shd w:val="clear" w:color="auto" w:fill="E1DFDD"/>
    </w:rPr>
  </w:style>
  <w:style w:type="character" w:customStyle="1" w:styleId="WW-InternetLink">
    <w:name w:val="WW-Internet Link"/>
    <w:rsid w:val="00843B5C"/>
    <w:rPr>
      <w:color w:val="0000FF"/>
      <w:u w:val="single"/>
    </w:rPr>
  </w:style>
  <w:style w:type="paragraph" w:customStyle="1" w:styleId="abstrak">
    <w:name w:val="abstrak"/>
    <w:basedOn w:val="BodyText"/>
    <w:qFormat/>
    <w:rsid w:val="001F09E7"/>
    <w:pPr>
      <w:widowControl/>
      <w:autoSpaceDE/>
      <w:autoSpaceDN/>
      <w:ind w:left="567" w:right="567"/>
      <w:jc w:val="both"/>
    </w:pPr>
    <w:rPr>
      <w:rFonts w:eastAsia="SimSun"/>
      <w:spacing w:val="-1"/>
      <w:sz w:val="20"/>
    </w:rPr>
  </w:style>
  <w:style w:type="paragraph" w:customStyle="1" w:styleId="DaftarPustaka">
    <w:name w:val="Daftar Pustaka"/>
    <w:basedOn w:val="Title"/>
    <w:qFormat/>
    <w:rsid w:val="00952C62"/>
    <w:pPr>
      <w:spacing w:before="120" w:after="120"/>
      <w:ind w:left="284" w:hanging="284"/>
      <w:jc w:val="both"/>
    </w:pPr>
    <w:rPr>
      <w:rFonts w:ascii="Times New Roman" w:eastAsia="Times New Roman" w:hAnsi="Times New Roman" w:cs="Times New Roman"/>
      <w:noProof/>
      <w:sz w:val="20"/>
      <w:szCs w:val="24"/>
    </w:rPr>
  </w:style>
  <w:style w:type="table" w:customStyle="1" w:styleId="a">
    <w:basedOn w:val="TableNormal"/>
    <w:rPr>
      <w:rFonts w:ascii="Calibri" w:eastAsia="Calibri" w:hAnsi="Calibri" w:cs="Calibri"/>
      <w:sz w:val="20"/>
      <w:szCs w:val="20"/>
    </w:rPr>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115" w:type="dxa"/>
        <w:right w:w="115" w:type="dxa"/>
      </w:tblCellMar>
    </w:tblPr>
  </w:style>
  <w:style w:type="table" w:styleId="TableGridLight">
    <w:name w:val="Grid Table Light"/>
    <w:basedOn w:val="TableNormal"/>
    <w:uiPriority w:val="40"/>
    <w:rsid w:val="007761D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hyperlink" Target="https://doi.org/10.62872/pj.v1i4.520" TargetMode="External"/><Relationship Id="rId2" Type="http://schemas.openxmlformats.org/officeDocument/2006/relationships/image" Target="media/image1.png"/><Relationship Id="rId1" Type="http://schemas.openxmlformats.org/officeDocument/2006/relationships/hyperlink" Target="https://nawalaeducation.com/index.php/SJ/submis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SHeK4NnzVZKiOTgIzZ/HxfUuug==">CgMxLjAaEgoBMBINCgsIB0IHEgVDYXJkbxoSCgExEg0KCwgHQgcSBUNhcmRvGhIKATISDQoLCAdCBxIFQ2FyZG8aEgoBMxINCgsIB0IHEgVDYXJkbxoSCgE0Eg0KCwgHQgcSBUNhcmRvGhIKATUSDQoLCAdCBxIFQ2FyZG8aEgoBNhINCgsIB0IHEgVDYXJkbzIIaC5namRneHM4AHIhMVphWTkyZGRfN2JDWXRpSklDNlFuOXlDcVlKUlQ5Z2Q4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5698</Words>
  <Characters>32480</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reviewer nawala</cp:lastModifiedBy>
  <cp:revision>2</cp:revision>
  <dcterms:created xsi:type="dcterms:W3CDTF">2026-03-12T04:46:00Z</dcterms:created>
  <dcterms:modified xsi:type="dcterms:W3CDTF">2026-03-12T04:46:00Z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https://csl.mendeley.com/styles/475823531/apa</vt:lpwstr>
  </property>
  <property fmtid="{D5CDD505-2E9C-101B-9397-08002B2CF9AE}" pid="9" name="Mendeley Recent Style Name 3_1">
    <vt:lpwstr>American Psychological Association 6th edition - Mincho Slavov</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4570abf7-600c-3029-ac67-caddbc3312d9</vt:lpwstr>
  </property>
  <property fmtid="{D5CDD505-2E9C-101B-9397-08002B2CF9AE}" pid="24" name="Mendeley Citation Style_1">
    <vt:lpwstr>http://www.zotero.org/styles/apa</vt:lpwstr>
  </property>
</Properties>
</file>